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07BE1" w14:textId="63FA9CB7" w:rsidR="000B12D9" w:rsidRPr="000B12D9" w:rsidRDefault="000B12D9" w:rsidP="000B12D9">
      <w:pPr>
        <w:pStyle w:val="Heading1"/>
        <w:spacing w:before="0"/>
        <w:jc w:val="center"/>
        <w:rPr>
          <w:b/>
          <w:bCs/>
          <w:color w:val="006152"/>
          <w:sz w:val="28"/>
          <w:szCs w:val="28"/>
          <w:lang w:val="en-US"/>
        </w:rPr>
      </w:pPr>
      <w:bookmarkStart w:id="0" w:name="_GoBack"/>
      <w:bookmarkEnd w:id="0"/>
      <w:r w:rsidRPr="000B12D9">
        <w:rPr>
          <w:b/>
          <w:bCs/>
          <w:color w:val="006152"/>
          <w:sz w:val="28"/>
          <w:szCs w:val="28"/>
          <w:lang w:val="en-US"/>
        </w:rPr>
        <w:t>Laboratory Investigation of Measles Infection</w:t>
      </w:r>
      <w:r w:rsidR="00E00F78">
        <w:rPr>
          <w:b/>
          <w:bCs/>
          <w:color w:val="006152"/>
          <w:sz w:val="28"/>
          <w:szCs w:val="28"/>
          <w:lang w:val="en-US"/>
        </w:rPr>
        <w:t xml:space="preserve"> in NVRL</w:t>
      </w:r>
    </w:p>
    <w:p w14:paraId="49DD3F9A" w14:textId="5F591D79" w:rsidR="000B12D9" w:rsidRPr="000B12D9" w:rsidRDefault="000B12D9" w:rsidP="000B12D9">
      <w:pPr>
        <w:pStyle w:val="Heading1"/>
        <w:jc w:val="center"/>
        <w:rPr>
          <w:b/>
          <w:bCs/>
          <w:color w:val="006152"/>
          <w:sz w:val="28"/>
          <w:szCs w:val="28"/>
          <w:lang w:val="en-US"/>
        </w:rPr>
      </w:pPr>
      <w:r w:rsidRPr="000B12D9">
        <w:rPr>
          <w:b/>
          <w:bCs/>
          <w:color w:val="006152"/>
          <w:sz w:val="28"/>
          <w:szCs w:val="28"/>
          <w:lang w:val="en-US"/>
        </w:rPr>
        <w:t xml:space="preserve">Date: </w:t>
      </w:r>
      <w:r w:rsidR="00CA3CCF">
        <w:rPr>
          <w:b/>
          <w:bCs/>
          <w:color w:val="006152"/>
          <w:sz w:val="28"/>
          <w:szCs w:val="28"/>
          <w:lang w:val="en-US"/>
        </w:rPr>
        <w:t>1</w:t>
      </w:r>
      <w:r w:rsidR="00B1763A">
        <w:rPr>
          <w:b/>
          <w:bCs/>
          <w:color w:val="006152"/>
          <w:sz w:val="28"/>
          <w:szCs w:val="28"/>
          <w:lang w:val="en-US"/>
        </w:rPr>
        <w:t>5</w:t>
      </w:r>
      <w:r w:rsidRPr="000B12D9">
        <w:rPr>
          <w:b/>
          <w:bCs/>
          <w:color w:val="006152"/>
          <w:sz w:val="28"/>
          <w:szCs w:val="28"/>
          <w:lang w:val="en-US"/>
        </w:rPr>
        <w:t>/02/2024</w:t>
      </w:r>
    </w:p>
    <w:p w14:paraId="47DDE11E" w14:textId="5B231FDB" w:rsidR="000B12D9" w:rsidRPr="000B12D9" w:rsidRDefault="000B12D9" w:rsidP="000B12D9">
      <w:pPr>
        <w:pStyle w:val="Heading1"/>
        <w:jc w:val="center"/>
        <w:rPr>
          <w:b/>
          <w:bCs/>
          <w:color w:val="006152"/>
          <w:sz w:val="28"/>
          <w:szCs w:val="28"/>
          <w:lang w:val="en-US"/>
        </w:rPr>
      </w:pPr>
      <w:r w:rsidRPr="000B12D9">
        <w:rPr>
          <w:b/>
          <w:bCs/>
          <w:color w:val="006152"/>
          <w:sz w:val="28"/>
          <w:szCs w:val="28"/>
          <w:lang w:val="en-US"/>
        </w:rPr>
        <w:t xml:space="preserve">Version </w:t>
      </w:r>
      <w:r w:rsidR="00CA3CCF">
        <w:rPr>
          <w:b/>
          <w:bCs/>
          <w:color w:val="006152"/>
          <w:sz w:val="28"/>
          <w:szCs w:val="28"/>
          <w:lang w:val="en-US"/>
        </w:rPr>
        <w:t>2</w:t>
      </w:r>
      <w:r w:rsidRPr="000B12D9">
        <w:rPr>
          <w:b/>
          <w:bCs/>
          <w:color w:val="006152"/>
          <w:sz w:val="28"/>
          <w:szCs w:val="28"/>
          <w:lang w:val="en-US"/>
        </w:rPr>
        <w:t>.</w:t>
      </w:r>
      <w:r w:rsidR="00B1763A">
        <w:rPr>
          <w:b/>
          <w:bCs/>
          <w:color w:val="006152"/>
          <w:sz w:val="28"/>
          <w:szCs w:val="28"/>
          <w:lang w:val="en-US"/>
        </w:rPr>
        <w:t>2</w:t>
      </w:r>
    </w:p>
    <w:p w14:paraId="1AE04743" w14:textId="77777777" w:rsidR="00302491" w:rsidRDefault="00302491" w:rsidP="00A47425">
      <w:pPr>
        <w:spacing w:line="276" w:lineRule="auto"/>
        <w:rPr>
          <w:lang w:val="en-US"/>
        </w:rPr>
      </w:pPr>
    </w:p>
    <w:p w14:paraId="26122480" w14:textId="010E4100" w:rsidR="000B12D9" w:rsidRPr="000B12D9" w:rsidRDefault="000B12D9" w:rsidP="00A47425">
      <w:pPr>
        <w:spacing w:line="276" w:lineRule="auto"/>
        <w:rPr>
          <w:lang w:val="en-US"/>
        </w:rPr>
      </w:pPr>
      <w:r w:rsidRPr="000B12D9">
        <w:rPr>
          <w:lang w:val="en-US"/>
        </w:rPr>
        <w:t xml:space="preserve">This document summaries testing options for the diagnosis of measles. Testing is currently done in the NVRL. The possibility of regional testing is also under review and this document will be updated. </w:t>
      </w:r>
    </w:p>
    <w:p w14:paraId="210F0BDB" w14:textId="7172E282" w:rsidR="000B12D9" w:rsidRPr="000B12D9" w:rsidRDefault="000B12D9" w:rsidP="00A47425">
      <w:pPr>
        <w:spacing w:line="276" w:lineRule="auto"/>
        <w:rPr>
          <w:lang w:val="en-US"/>
        </w:rPr>
      </w:pPr>
      <w:r w:rsidRPr="000B12D9">
        <w:rPr>
          <w:lang w:val="en-US"/>
        </w:rPr>
        <w:t xml:space="preserve">Rapid testing of suspect measles is recommended for individuals meeting the </w:t>
      </w:r>
      <w:hyperlink r:id="rId8" w:history="1">
        <w:r w:rsidRPr="00195488">
          <w:rPr>
            <w:rStyle w:val="Hyperlink"/>
            <w:lang w:val="en-US"/>
          </w:rPr>
          <w:t>case definition of measles</w:t>
        </w:r>
      </w:hyperlink>
      <w:r w:rsidRPr="000B12D9">
        <w:rPr>
          <w:lang w:val="en-US"/>
        </w:rPr>
        <w:t>.</w:t>
      </w:r>
    </w:p>
    <w:p w14:paraId="5946A3BA" w14:textId="61AD7B3F" w:rsidR="000B12D9" w:rsidRPr="000B12D9" w:rsidRDefault="00FC7C04" w:rsidP="00A47425">
      <w:pPr>
        <w:spacing w:line="276" w:lineRule="auto"/>
        <w:rPr>
          <w:lang w:val="en-US"/>
        </w:rPr>
      </w:pPr>
      <w:r>
        <w:rPr>
          <w:lang w:val="en-US"/>
        </w:rPr>
        <w:t>This document outlines the following</w:t>
      </w:r>
    </w:p>
    <w:p w14:paraId="0604083E" w14:textId="089FAAEB" w:rsidR="000B12D9" w:rsidRPr="000B12D9" w:rsidRDefault="000B12D9" w:rsidP="00A47425">
      <w:pPr>
        <w:pStyle w:val="ListParagraph"/>
        <w:numPr>
          <w:ilvl w:val="0"/>
          <w:numId w:val="6"/>
        </w:numPr>
        <w:spacing w:line="276" w:lineRule="auto"/>
        <w:rPr>
          <w:lang w:val="en-US"/>
        </w:rPr>
      </w:pPr>
      <w:r w:rsidRPr="000B12D9">
        <w:rPr>
          <w:lang w:val="en-US"/>
        </w:rPr>
        <w:t xml:space="preserve">Information to be provided on samples. </w:t>
      </w:r>
    </w:p>
    <w:p w14:paraId="63BCD4B0" w14:textId="416137FA" w:rsidR="000B12D9" w:rsidRPr="000B12D9" w:rsidRDefault="000B12D9" w:rsidP="00A47425">
      <w:pPr>
        <w:pStyle w:val="ListParagraph"/>
        <w:numPr>
          <w:ilvl w:val="0"/>
          <w:numId w:val="6"/>
        </w:numPr>
        <w:spacing w:line="276" w:lineRule="auto"/>
        <w:rPr>
          <w:lang w:val="en-US"/>
        </w:rPr>
      </w:pPr>
      <w:r w:rsidRPr="000B12D9">
        <w:rPr>
          <w:lang w:val="en-US"/>
        </w:rPr>
        <w:t>Description of the sample types and testing</w:t>
      </w:r>
      <w:r w:rsidR="00D65C4C">
        <w:rPr>
          <w:lang w:val="en-US"/>
        </w:rPr>
        <w:t>, transport of specimens to NVRL</w:t>
      </w:r>
      <w:r w:rsidRPr="000B12D9">
        <w:rPr>
          <w:lang w:val="en-US"/>
        </w:rPr>
        <w:t>.</w:t>
      </w:r>
    </w:p>
    <w:p w14:paraId="5E385D8B" w14:textId="0FBD7BD8" w:rsidR="000B12D9" w:rsidRPr="000B12D9" w:rsidRDefault="000B12D9" w:rsidP="00A47425">
      <w:pPr>
        <w:pStyle w:val="ListParagraph"/>
        <w:numPr>
          <w:ilvl w:val="0"/>
          <w:numId w:val="6"/>
        </w:numPr>
        <w:spacing w:line="276" w:lineRule="auto"/>
        <w:rPr>
          <w:lang w:val="en-US"/>
        </w:rPr>
      </w:pPr>
      <w:r w:rsidRPr="000B12D9">
        <w:rPr>
          <w:lang w:val="en-US"/>
        </w:rPr>
        <w:t xml:space="preserve">Diagram describing test results and temporal correlation with symptoms. </w:t>
      </w:r>
    </w:p>
    <w:p w14:paraId="74B15AC2" w14:textId="1BA4DBD8" w:rsidR="000B12D9" w:rsidRPr="00D65C4C" w:rsidRDefault="000B12D9" w:rsidP="00BD0381">
      <w:pPr>
        <w:pStyle w:val="ListParagraph"/>
        <w:numPr>
          <w:ilvl w:val="0"/>
          <w:numId w:val="6"/>
        </w:numPr>
        <w:spacing w:line="276" w:lineRule="auto"/>
        <w:rPr>
          <w:sz w:val="24"/>
          <w:szCs w:val="24"/>
          <w:lang w:val="en-US"/>
        </w:rPr>
      </w:pPr>
      <w:r w:rsidRPr="00D65C4C">
        <w:rPr>
          <w:lang w:val="en-US"/>
        </w:rPr>
        <w:t xml:space="preserve">Summary table of samples/tests/and testing scheduling in NVRL </w:t>
      </w:r>
    </w:p>
    <w:p w14:paraId="1E92A2F8" w14:textId="77777777" w:rsidR="00D65C4C" w:rsidRPr="00D65C4C" w:rsidRDefault="00D65C4C" w:rsidP="00D65C4C">
      <w:pPr>
        <w:pStyle w:val="ListParagraph"/>
        <w:spacing w:line="276" w:lineRule="auto"/>
        <w:rPr>
          <w:sz w:val="24"/>
          <w:szCs w:val="24"/>
          <w:lang w:val="en-US"/>
        </w:rPr>
      </w:pPr>
    </w:p>
    <w:p w14:paraId="52F3BE76" w14:textId="65D140DA" w:rsidR="000B12D9" w:rsidRPr="000B12D9" w:rsidRDefault="000B12D9" w:rsidP="00A47425">
      <w:pPr>
        <w:pStyle w:val="Heading2"/>
        <w:numPr>
          <w:ilvl w:val="0"/>
          <w:numId w:val="4"/>
        </w:numPr>
        <w:tabs>
          <w:tab w:val="num" w:pos="360"/>
        </w:tabs>
        <w:ind w:left="0" w:firstLine="0"/>
        <w:rPr>
          <w:b/>
          <w:bCs/>
          <w:color w:val="006152"/>
          <w:lang w:val="en-US"/>
        </w:rPr>
      </w:pPr>
      <w:r>
        <w:rPr>
          <w:b/>
          <w:bCs/>
          <w:color w:val="006152"/>
          <w:lang w:val="en-US"/>
        </w:rPr>
        <w:t xml:space="preserve"> </w:t>
      </w:r>
      <w:r w:rsidRPr="000B12D9">
        <w:rPr>
          <w:b/>
          <w:bCs/>
          <w:color w:val="006152"/>
          <w:lang w:val="en-US"/>
        </w:rPr>
        <w:t>Information to be provided with samples sent to laboratory.</w:t>
      </w:r>
    </w:p>
    <w:p w14:paraId="6BDE839D" w14:textId="77777777" w:rsidR="000B12D9" w:rsidRPr="000B12D9" w:rsidRDefault="000B12D9" w:rsidP="00A47425">
      <w:pPr>
        <w:spacing w:line="276" w:lineRule="auto"/>
        <w:rPr>
          <w:lang w:val="en-US"/>
        </w:rPr>
      </w:pPr>
      <w:r w:rsidRPr="000B12D9">
        <w:rPr>
          <w:lang w:val="en-US"/>
        </w:rPr>
        <w:t xml:space="preserve">The sample should be labelled with patient name, date of birth- this should be accompanied on the laboratory request form as per NVRL guidance </w:t>
      </w:r>
      <w:hyperlink r:id="rId9" w:history="1">
        <w:r w:rsidRPr="000B12D9">
          <w:rPr>
            <w:rStyle w:val="Hyperlink"/>
            <w:lang w:val="en-US"/>
          </w:rPr>
          <w:t>https://nvrl.ucd.ie/info</w:t>
        </w:r>
      </w:hyperlink>
    </w:p>
    <w:p w14:paraId="526C1A91" w14:textId="152C6E5C" w:rsidR="000B12D9" w:rsidRPr="000B12D9" w:rsidRDefault="000B12D9" w:rsidP="00A47425">
      <w:pPr>
        <w:spacing w:line="276" w:lineRule="auto"/>
        <w:rPr>
          <w:lang w:val="en-US"/>
        </w:rPr>
      </w:pPr>
      <w:r w:rsidRPr="000B12D9">
        <w:rPr>
          <w:lang w:val="en-US"/>
        </w:rPr>
        <w:t>Oral fluid (</w:t>
      </w:r>
      <w:proofErr w:type="spellStart"/>
      <w:r w:rsidRPr="000B12D9">
        <w:rPr>
          <w:lang w:val="en-US"/>
        </w:rPr>
        <w:t>Oracol</w:t>
      </w:r>
      <w:proofErr w:type="spellEnd"/>
      <w:r w:rsidRPr="000B12D9">
        <w:rPr>
          <w:lang w:val="en-US"/>
        </w:rPr>
        <w:t xml:space="preserve">) investigation forms can be downloaded from NVRL </w:t>
      </w:r>
      <w:hyperlink r:id="rId10" w:history="1">
        <w:r w:rsidRPr="000B12D9">
          <w:rPr>
            <w:rStyle w:val="Hyperlink"/>
            <w:lang w:val="en-US"/>
          </w:rPr>
          <w:t>https://nvrl.ucd.ie/sites/default/files/uploads/pdfs/LF_UM_001m_rev_10_Oral_Fluid_Investigation_Request_Form.pdf</w:t>
        </w:r>
      </w:hyperlink>
    </w:p>
    <w:p w14:paraId="18440252" w14:textId="3974EF67" w:rsidR="000B12D9" w:rsidRPr="000B12D9" w:rsidRDefault="0007149E" w:rsidP="00A47425">
      <w:pPr>
        <w:spacing w:line="276" w:lineRule="auto"/>
        <w:rPr>
          <w:lang w:val="en-US"/>
        </w:rPr>
      </w:pPr>
      <w:r>
        <w:rPr>
          <w:lang w:val="en-US"/>
        </w:rPr>
        <w:t>I</w:t>
      </w:r>
      <w:r w:rsidR="000B12D9" w:rsidRPr="000B12D9">
        <w:rPr>
          <w:lang w:val="en-US"/>
        </w:rPr>
        <w:t>t is essential that the following information accompanies the sample to determine the significance of the results and appropriate investigations</w:t>
      </w:r>
      <w:r w:rsidR="00195488">
        <w:rPr>
          <w:lang w:val="en-US"/>
        </w:rPr>
        <w:t xml:space="preserve"> and rapid communication of results</w:t>
      </w:r>
      <w:r w:rsidR="000B12D9" w:rsidRPr="000B12D9">
        <w:rPr>
          <w:lang w:val="en-US"/>
        </w:rPr>
        <w:t>.</w:t>
      </w:r>
    </w:p>
    <w:p w14:paraId="0419CEDF" w14:textId="77777777" w:rsidR="000B12D9" w:rsidRPr="000B12D9" w:rsidRDefault="000B12D9" w:rsidP="00A47425">
      <w:pPr>
        <w:pStyle w:val="ListParagraph"/>
        <w:numPr>
          <w:ilvl w:val="0"/>
          <w:numId w:val="1"/>
        </w:numPr>
        <w:spacing w:line="276" w:lineRule="auto"/>
        <w:rPr>
          <w:lang w:val="en-US"/>
        </w:rPr>
      </w:pPr>
      <w:r w:rsidRPr="000B12D9">
        <w:rPr>
          <w:lang w:val="en-US"/>
        </w:rPr>
        <w:t>Date of rash onset</w:t>
      </w:r>
    </w:p>
    <w:p w14:paraId="6D21F4A3" w14:textId="77777777" w:rsidR="000B12D9" w:rsidRPr="000B12D9" w:rsidRDefault="000B12D9" w:rsidP="00A47425">
      <w:pPr>
        <w:pStyle w:val="ListParagraph"/>
        <w:numPr>
          <w:ilvl w:val="0"/>
          <w:numId w:val="1"/>
        </w:numPr>
        <w:spacing w:line="276" w:lineRule="auto"/>
        <w:rPr>
          <w:lang w:val="en-US"/>
        </w:rPr>
      </w:pPr>
      <w:r w:rsidRPr="000B12D9">
        <w:rPr>
          <w:lang w:val="en-US"/>
        </w:rPr>
        <w:t>Date of sample collection</w:t>
      </w:r>
    </w:p>
    <w:p w14:paraId="4AB2F0D3" w14:textId="04A61C91" w:rsidR="000B12D9" w:rsidRPr="000B12D9" w:rsidRDefault="000B12D9" w:rsidP="00A47425">
      <w:pPr>
        <w:pStyle w:val="ListParagraph"/>
        <w:numPr>
          <w:ilvl w:val="0"/>
          <w:numId w:val="1"/>
        </w:numPr>
        <w:spacing w:line="276" w:lineRule="auto"/>
        <w:rPr>
          <w:lang w:val="en-US"/>
        </w:rPr>
      </w:pPr>
      <w:r w:rsidRPr="000B12D9">
        <w:rPr>
          <w:lang w:val="en-US"/>
        </w:rPr>
        <w:t>M</w:t>
      </w:r>
      <w:r w:rsidR="00302491">
        <w:rPr>
          <w:lang w:val="en-US"/>
        </w:rPr>
        <w:t xml:space="preserve">easles containing </w:t>
      </w:r>
      <w:r w:rsidRPr="000B12D9">
        <w:rPr>
          <w:lang w:val="en-US"/>
        </w:rPr>
        <w:t xml:space="preserve">vaccine history </w:t>
      </w:r>
      <w:r w:rsidR="00302491">
        <w:rPr>
          <w:lang w:val="en-US"/>
        </w:rPr>
        <w:t xml:space="preserve">- </w:t>
      </w:r>
      <w:r w:rsidRPr="000B12D9">
        <w:rPr>
          <w:lang w:val="en-US"/>
        </w:rPr>
        <w:t xml:space="preserve">in particular vaccination </w:t>
      </w:r>
      <w:r w:rsidR="00302491">
        <w:rPr>
          <w:lang w:val="en-US"/>
        </w:rPr>
        <w:t xml:space="preserve">if </w:t>
      </w:r>
      <w:r w:rsidRPr="000B12D9">
        <w:rPr>
          <w:lang w:val="en-US"/>
        </w:rPr>
        <w:t xml:space="preserve">within the </w:t>
      </w:r>
      <w:r w:rsidR="00302491">
        <w:rPr>
          <w:lang w:val="en-US"/>
        </w:rPr>
        <w:t>last month</w:t>
      </w:r>
    </w:p>
    <w:p w14:paraId="4DCD9FCD" w14:textId="691896F4" w:rsidR="000B12D9" w:rsidRPr="000B12D9" w:rsidRDefault="000B12D9" w:rsidP="00A47425">
      <w:pPr>
        <w:pStyle w:val="ListParagraph"/>
        <w:numPr>
          <w:ilvl w:val="0"/>
          <w:numId w:val="1"/>
        </w:numPr>
        <w:spacing w:line="276" w:lineRule="auto"/>
        <w:rPr>
          <w:lang w:val="en-US"/>
        </w:rPr>
      </w:pPr>
      <w:r w:rsidRPr="000B12D9">
        <w:rPr>
          <w:lang w:val="en-US"/>
        </w:rPr>
        <w:t>Referring clinician contact number (ideally mobile number)</w:t>
      </w:r>
      <w:r w:rsidR="00A462AB">
        <w:rPr>
          <w:lang w:val="en-US"/>
        </w:rPr>
        <w:t>- NVRL will phone results</w:t>
      </w:r>
    </w:p>
    <w:p w14:paraId="64784A72" w14:textId="77777777" w:rsidR="000B12D9" w:rsidRDefault="000B12D9" w:rsidP="000B12D9">
      <w:pPr>
        <w:rPr>
          <w:lang w:val="en-US"/>
        </w:rPr>
      </w:pPr>
    </w:p>
    <w:p w14:paraId="75CCE27C" w14:textId="6FF6B02A" w:rsidR="000B12D9" w:rsidRPr="000B12D9" w:rsidRDefault="000B12D9" w:rsidP="000B12D9">
      <w:pPr>
        <w:pStyle w:val="Heading2"/>
        <w:numPr>
          <w:ilvl w:val="0"/>
          <w:numId w:val="4"/>
        </w:numPr>
        <w:tabs>
          <w:tab w:val="num" w:pos="360"/>
        </w:tabs>
        <w:ind w:left="0" w:firstLine="0"/>
        <w:rPr>
          <w:b/>
          <w:bCs/>
          <w:color w:val="006152"/>
          <w:lang w:val="en-US"/>
        </w:rPr>
      </w:pPr>
      <w:r>
        <w:rPr>
          <w:b/>
          <w:bCs/>
          <w:color w:val="006152"/>
          <w:lang w:val="en-US"/>
        </w:rPr>
        <w:t xml:space="preserve"> </w:t>
      </w:r>
      <w:r w:rsidRPr="000B12D9">
        <w:rPr>
          <w:b/>
          <w:bCs/>
          <w:color w:val="006152"/>
          <w:lang w:val="en-US"/>
        </w:rPr>
        <w:t xml:space="preserve">Description of sample types and testing </w:t>
      </w:r>
    </w:p>
    <w:p w14:paraId="50199E8A" w14:textId="6CEDDBCB" w:rsidR="000B12D9" w:rsidRPr="000B12D9" w:rsidRDefault="000B12D9" w:rsidP="000B12D9">
      <w:pPr>
        <w:pStyle w:val="Heading3"/>
        <w:numPr>
          <w:ilvl w:val="0"/>
          <w:numId w:val="8"/>
        </w:numPr>
        <w:rPr>
          <w:color w:val="006152"/>
          <w:lang w:val="en-US"/>
        </w:rPr>
      </w:pPr>
      <w:r w:rsidRPr="000B12D9">
        <w:rPr>
          <w:color w:val="006152"/>
          <w:lang w:val="en-US"/>
        </w:rPr>
        <w:t>Oral fluid (</w:t>
      </w:r>
      <w:proofErr w:type="spellStart"/>
      <w:r w:rsidRPr="000B12D9">
        <w:rPr>
          <w:color w:val="006152"/>
          <w:lang w:val="en-US"/>
        </w:rPr>
        <w:t>OraCol</w:t>
      </w:r>
      <w:proofErr w:type="spellEnd"/>
      <w:r w:rsidRPr="000B12D9">
        <w:rPr>
          <w:color w:val="006152"/>
          <w:lang w:val="en-US"/>
        </w:rPr>
        <w:t>)</w:t>
      </w:r>
    </w:p>
    <w:p w14:paraId="01E3F8C4" w14:textId="77777777" w:rsidR="000B12D9" w:rsidRPr="000B12D9" w:rsidRDefault="000B12D9" w:rsidP="000B12D9">
      <w:pPr>
        <w:spacing w:line="276" w:lineRule="auto"/>
        <w:rPr>
          <w:lang w:val="en-US"/>
        </w:rPr>
      </w:pPr>
      <w:r w:rsidRPr="000B12D9">
        <w:rPr>
          <w:lang w:val="en-US"/>
        </w:rPr>
        <w:t xml:space="preserve">The </w:t>
      </w:r>
      <w:proofErr w:type="spellStart"/>
      <w:r w:rsidRPr="000B12D9">
        <w:rPr>
          <w:lang w:val="en-US"/>
        </w:rPr>
        <w:t>OraCol</w:t>
      </w:r>
      <w:proofErr w:type="spellEnd"/>
      <w:r w:rsidRPr="000B12D9">
        <w:rPr>
          <w:lang w:val="en-US"/>
        </w:rPr>
        <w:t xml:space="preserve"> collection device provides a non-invasive oral fluid sample which is rich in gingival crevicular fluid (GCV), which is a plasma transudate, which emerges at the margin of the tooth and gum. This transudate contains IgM and IgG derived from plasma but diluted.  This sample can be used for the determination of measles IgM.  Testing for IgM is more sensitive than using serum in the first few days after rash development and over 50 % may be positive on day 1.</w:t>
      </w:r>
    </w:p>
    <w:p w14:paraId="21CB2882" w14:textId="2FB68D65" w:rsidR="000B12D9" w:rsidRPr="000B12D9" w:rsidRDefault="000B12D9" w:rsidP="000B12D9">
      <w:pPr>
        <w:spacing w:line="276" w:lineRule="auto"/>
        <w:rPr>
          <w:lang w:val="en-US"/>
        </w:rPr>
      </w:pPr>
      <w:r w:rsidRPr="000B12D9">
        <w:rPr>
          <w:lang w:val="en-US"/>
        </w:rPr>
        <w:lastRenderedPageBreak/>
        <w:t>In addition, the oral fluid can be used for the detection of measles RNA (PCR methods) and subsequently sequenced to discriminate between wild type measles genotype and vaccine strain. The oral fluid can be tested for measles RNA during the prodrome of suspected measles infection and up to 7 days post rash onset.</w:t>
      </w:r>
    </w:p>
    <w:p w14:paraId="09DDCAA4" w14:textId="4CDC4211" w:rsidR="000B12D9" w:rsidRPr="000B12D9" w:rsidRDefault="000B12D9" w:rsidP="000B12D9">
      <w:pPr>
        <w:spacing w:line="276" w:lineRule="auto"/>
        <w:rPr>
          <w:lang w:val="en-US"/>
        </w:rPr>
      </w:pPr>
      <w:r w:rsidRPr="000B12D9">
        <w:rPr>
          <w:lang w:val="en-US"/>
        </w:rPr>
        <w:t xml:space="preserve">The laboratory results generated </w:t>
      </w:r>
      <w:r w:rsidR="007874A6">
        <w:rPr>
          <w:lang w:val="en-US"/>
        </w:rPr>
        <w:t xml:space="preserve">are </w:t>
      </w:r>
      <w:r w:rsidRPr="000B12D9">
        <w:rPr>
          <w:lang w:val="en-US"/>
        </w:rPr>
        <w:t>heavily dependent upon the quality of the sample. Therefore, great care is needed to follow the instructions</w:t>
      </w:r>
      <w:r w:rsidR="007874A6">
        <w:rPr>
          <w:lang w:val="en-US"/>
        </w:rPr>
        <w:t xml:space="preserve"> (see Measles Swab </w:t>
      </w:r>
      <w:proofErr w:type="spellStart"/>
      <w:r w:rsidR="007874A6">
        <w:rPr>
          <w:lang w:val="en-US"/>
        </w:rPr>
        <w:t>Infogram</w:t>
      </w:r>
      <w:proofErr w:type="spellEnd"/>
      <w:r w:rsidR="007874A6">
        <w:rPr>
          <w:lang w:val="en-US"/>
        </w:rPr>
        <w:t xml:space="preserve"> linked below)</w:t>
      </w:r>
      <w:r w:rsidRPr="000B12D9">
        <w:rPr>
          <w:lang w:val="en-US"/>
        </w:rPr>
        <w:t xml:space="preserve"> for collecting the oral fluid, to ensure that there are sufficient cells for measles RNA investigation and antibodies for measles IgM detection.</w:t>
      </w:r>
    </w:p>
    <w:p w14:paraId="1CB39DAB" w14:textId="1E7AA20E" w:rsidR="000B12D9" w:rsidRPr="000B12D9" w:rsidRDefault="000B12D9" w:rsidP="000B12D9">
      <w:pPr>
        <w:shd w:val="clear" w:color="auto" w:fill="FFFFFF"/>
        <w:spacing w:before="100" w:beforeAutospacing="1" w:after="100" w:afterAutospacing="1" w:line="240" w:lineRule="auto"/>
        <w:outlineLvl w:val="2"/>
        <w:rPr>
          <w:lang w:val="en-US"/>
        </w:rPr>
      </w:pPr>
      <w:r w:rsidRPr="00FC7C04">
        <w:rPr>
          <w:rFonts w:eastAsia="Times New Roman" w:cstheme="minorHAnsi"/>
          <w:color w:val="000018"/>
          <w:u w:val="single"/>
          <w:lang w:eastAsia="en-IE"/>
        </w:rPr>
        <w:t xml:space="preserve">Measles Swab </w:t>
      </w:r>
      <w:proofErr w:type="spellStart"/>
      <w:r w:rsidRPr="00FC7C04">
        <w:rPr>
          <w:rFonts w:eastAsia="Times New Roman" w:cstheme="minorHAnsi"/>
          <w:color w:val="000018"/>
          <w:u w:val="single"/>
          <w:lang w:eastAsia="en-IE"/>
        </w:rPr>
        <w:t>Infogram</w:t>
      </w:r>
      <w:proofErr w:type="spellEnd"/>
      <w:r w:rsidRPr="000B12D9">
        <w:rPr>
          <w:rFonts w:eastAsia="Times New Roman" w:cstheme="minorHAnsi"/>
          <w:color w:val="000018"/>
          <w:lang w:eastAsia="en-IE"/>
        </w:rPr>
        <w:t xml:space="preserve"> [</w:t>
      </w:r>
      <w:hyperlink r:id="rId11" w:history="1">
        <w:r w:rsidRPr="00734109">
          <w:rPr>
            <w:rStyle w:val="Hyperlink"/>
            <w:rFonts w:eastAsia="Times New Roman" w:cstheme="minorHAnsi"/>
            <w:lang w:eastAsia="en-IE"/>
          </w:rPr>
          <w:t>English</w:t>
        </w:r>
      </w:hyperlink>
      <w:r w:rsidRPr="000B12D9">
        <w:rPr>
          <w:rFonts w:eastAsia="Times New Roman" w:cstheme="minorHAnsi"/>
          <w:color w:val="000018"/>
          <w:lang w:eastAsia="en-IE"/>
        </w:rPr>
        <w:t>] [</w:t>
      </w:r>
      <w:hyperlink r:id="rId12" w:history="1">
        <w:r w:rsidRPr="00734109">
          <w:rPr>
            <w:rStyle w:val="Hyperlink"/>
            <w:rFonts w:eastAsia="Times New Roman" w:cstheme="minorHAnsi"/>
            <w:lang w:eastAsia="en-IE"/>
          </w:rPr>
          <w:t>Ukrainian</w:t>
        </w:r>
      </w:hyperlink>
      <w:r w:rsidRPr="000B12D9">
        <w:rPr>
          <w:rFonts w:eastAsia="Times New Roman" w:cstheme="minorHAnsi"/>
          <w:color w:val="000018"/>
          <w:lang w:eastAsia="en-IE"/>
        </w:rPr>
        <w:t>] [</w:t>
      </w:r>
      <w:hyperlink r:id="rId13" w:history="1">
        <w:r w:rsidRPr="00734109">
          <w:rPr>
            <w:rStyle w:val="Hyperlink"/>
            <w:rFonts w:eastAsia="Times New Roman" w:cstheme="minorHAnsi"/>
            <w:lang w:eastAsia="en-IE"/>
          </w:rPr>
          <w:t>Russian</w:t>
        </w:r>
      </w:hyperlink>
      <w:r w:rsidRPr="000B12D9">
        <w:rPr>
          <w:rFonts w:eastAsia="Times New Roman" w:cstheme="minorHAnsi"/>
          <w:color w:val="000018"/>
          <w:lang w:eastAsia="en-IE"/>
        </w:rPr>
        <w:t>] [</w:t>
      </w:r>
      <w:hyperlink r:id="rId14" w:history="1">
        <w:r w:rsidRPr="00734109">
          <w:rPr>
            <w:rStyle w:val="Hyperlink"/>
            <w:rFonts w:eastAsia="Times New Roman" w:cstheme="minorHAnsi"/>
            <w:lang w:eastAsia="en-IE"/>
          </w:rPr>
          <w:t>Turkish</w:t>
        </w:r>
      </w:hyperlink>
      <w:r w:rsidRPr="000B12D9">
        <w:rPr>
          <w:rFonts w:eastAsia="Times New Roman" w:cstheme="minorHAnsi"/>
          <w:color w:val="000018"/>
          <w:lang w:eastAsia="en-IE"/>
        </w:rPr>
        <w:t>] [</w:t>
      </w:r>
      <w:hyperlink r:id="rId15" w:history="1">
        <w:r w:rsidRPr="00734109">
          <w:rPr>
            <w:rStyle w:val="Hyperlink"/>
            <w:rFonts w:eastAsia="Times New Roman" w:cstheme="minorHAnsi"/>
            <w:lang w:eastAsia="en-IE"/>
          </w:rPr>
          <w:t>Georgian</w:t>
        </w:r>
      </w:hyperlink>
      <w:r w:rsidRPr="000B12D9">
        <w:rPr>
          <w:rFonts w:eastAsia="Times New Roman" w:cstheme="minorHAnsi"/>
          <w:color w:val="000018"/>
          <w:lang w:eastAsia="en-IE"/>
        </w:rPr>
        <w:t>] [</w:t>
      </w:r>
      <w:hyperlink r:id="rId16" w:history="1">
        <w:r w:rsidRPr="00734109">
          <w:rPr>
            <w:rStyle w:val="Hyperlink"/>
            <w:rFonts w:eastAsia="Times New Roman" w:cstheme="minorHAnsi"/>
            <w:lang w:eastAsia="en-IE"/>
          </w:rPr>
          <w:t>Arabic</w:t>
        </w:r>
      </w:hyperlink>
      <w:r w:rsidRPr="000B12D9">
        <w:rPr>
          <w:rFonts w:eastAsia="Times New Roman" w:cstheme="minorHAnsi"/>
          <w:color w:val="000018"/>
          <w:lang w:eastAsia="en-IE"/>
        </w:rPr>
        <w:t>] [</w:t>
      </w:r>
      <w:hyperlink r:id="rId17" w:history="1">
        <w:r w:rsidRPr="00734109">
          <w:rPr>
            <w:rStyle w:val="Hyperlink"/>
            <w:rFonts w:eastAsia="Times New Roman" w:cstheme="minorHAnsi"/>
            <w:lang w:eastAsia="en-IE"/>
          </w:rPr>
          <w:t>Pashto</w:t>
        </w:r>
      </w:hyperlink>
      <w:r w:rsidRPr="000B12D9">
        <w:rPr>
          <w:rFonts w:eastAsia="Times New Roman" w:cstheme="minorHAnsi"/>
          <w:color w:val="000018"/>
          <w:lang w:eastAsia="en-IE"/>
        </w:rPr>
        <w:t>] [</w:t>
      </w:r>
      <w:hyperlink r:id="rId18" w:history="1">
        <w:r w:rsidRPr="00734109">
          <w:rPr>
            <w:rStyle w:val="Hyperlink"/>
            <w:rFonts w:eastAsia="Times New Roman" w:cstheme="minorHAnsi"/>
            <w:lang w:eastAsia="en-IE"/>
          </w:rPr>
          <w:t>Somali</w:t>
        </w:r>
      </w:hyperlink>
      <w:r w:rsidRPr="000B12D9">
        <w:rPr>
          <w:rFonts w:eastAsia="Times New Roman" w:cstheme="minorHAnsi"/>
          <w:color w:val="000018"/>
          <w:lang w:eastAsia="en-IE"/>
        </w:rPr>
        <w:t>]</w:t>
      </w:r>
      <w:r w:rsidR="00734109">
        <w:rPr>
          <w:rFonts w:eastAsia="Times New Roman" w:cstheme="minorHAnsi"/>
          <w:color w:val="000018"/>
          <w:lang w:eastAsia="en-IE"/>
        </w:rPr>
        <w:t xml:space="preserve"> [</w:t>
      </w:r>
      <w:hyperlink r:id="rId19" w:history="1">
        <w:r w:rsidR="00734109" w:rsidRPr="00734109">
          <w:rPr>
            <w:rStyle w:val="Hyperlink"/>
            <w:rFonts w:eastAsia="Times New Roman" w:cstheme="minorHAnsi"/>
            <w:lang w:eastAsia="en-IE"/>
          </w:rPr>
          <w:t>Urdu</w:t>
        </w:r>
      </w:hyperlink>
      <w:r w:rsidR="00734109">
        <w:rPr>
          <w:rFonts w:eastAsia="Times New Roman" w:cstheme="minorHAnsi"/>
          <w:color w:val="000018"/>
          <w:lang w:eastAsia="en-IE"/>
        </w:rPr>
        <w:t>]</w:t>
      </w:r>
    </w:p>
    <w:p w14:paraId="31B4636B" w14:textId="77777777" w:rsidR="000B12D9" w:rsidRPr="000B12D9" w:rsidRDefault="000B12D9" w:rsidP="000B12D9">
      <w:pPr>
        <w:spacing w:line="276" w:lineRule="auto"/>
        <w:rPr>
          <w:b/>
          <w:sz w:val="24"/>
          <w:szCs w:val="24"/>
          <w:lang w:val="en-US"/>
        </w:rPr>
      </w:pPr>
      <w:r w:rsidRPr="000B12D9">
        <w:rPr>
          <w:b/>
          <w:sz w:val="24"/>
          <w:szCs w:val="24"/>
          <w:lang w:val="en-US"/>
        </w:rPr>
        <w:t>Optimal sample collection</w:t>
      </w:r>
    </w:p>
    <w:p w14:paraId="7056BF7C" w14:textId="796CF76E" w:rsidR="000B12D9" w:rsidRPr="000B12D9" w:rsidRDefault="000B12D9" w:rsidP="000B12D9">
      <w:pPr>
        <w:spacing w:line="276" w:lineRule="auto"/>
        <w:rPr>
          <w:lang w:val="en-US"/>
        </w:rPr>
      </w:pPr>
      <w:r w:rsidRPr="000B12D9">
        <w:rPr>
          <w:b/>
          <w:lang w:val="en-US"/>
        </w:rPr>
        <w:t>RNA DETECTION</w:t>
      </w:r>
      <w:r w:rsidRPr="000B12D9">
        <w:rPr>
          <w:lang w:val="en-US"/>
        </w:rPr>
        <w:t xml:space="preserve">: few days before rash develops to seven days post rash. </w:t>
      </w:r>
      <w:r w:rsidRPr="007874A6">
        <w:rPr>
          <w:b/>
          <w:bCs/>
          <w:lang w:val="en-US"/>
        </w:rPr>
        <w:t>PCR testing is done Monday-</w:t>
      </w:r>
      <w:r w:rsidR="00302491">
        <w:rPr>
          <w:b/>
          <w:bCs/>
          <w:lang w:val="en-US"/>
        </w:rPr>
        <w:t xml:space="preserve">Saturday </w:t>
      </w:r>
      <w:r w:rsidRPr="007874A6">
        <w:rPr>
          <w:b/>
          <w:bCs/>
          <w:lang w:val="en-US"/>
        </w:rPr>
        <w:t>in NVRL</w:t>
      </w:r>
      <w:r w:rsidR="00302491">
        <w:rPr>
          <w:b/>
          <w:bCs/>
          <w:lang w:val="en-US"/>
        </w:rPr>
        <w:t xml:space="preserve"> </w:t>
      </w:r>
      <w:r w:rsidR="00302491" w:rsidRPr="005C0B75">
        <w:rPr>
          <w:bCs/>
          <w:lang w:val="en-US"/>
        </w:rPr>
        <w:t>(</w:t>
      </w:r>
      <w:r w:rsidR="00195488">
        <w:rPr>
          <w:bCs/>
          <w:lang w:val="en-US"/>
        </w:rPr>
        <w:t xml:space="preserve">Saturday service commencing </w:t>
      </w:r>
      <w:r w:rsidR="00302491" w:rsidRPr="005C0B75">
        <w:rPr>
          <w:bCs/>
          <w:lang w:val="en-US"/>
        </w:rPr>
        <w:t>2</w:t>
      </w:r>
      <w:r w:rsidR="00195488">
        <w:rPr>
          <w:bCs/>
          <w:lang w:val="en-US"/>
        </w:rPr>
        <w:t>4</w:t>
      </w:r>
      <w:r w:rsidR="00302491" w:rsidRPr="005C0B75">
        <w:rPr>
          <w:bCs/>
          <w:vertAlign w:val="superscript"/>
          <w:lang w:val="en-US"/>
        </w:rPr>
        <w:t>th</w:t>
      </w:r>
      <w:r w:rsidR="00302491" w:rsidRPr="005C0B75">
        <w:rPr>
          <w:bCs/>
          <w:lang w:val="en-US"/>
        </w:rPr>
        <w:t xml:space="preserve"> February 2024</w:t>
      </w:r>
      <w:r w:rsidR="00195488">
        <w:rPr>
          <w:bCs/>
          <w:lang w:val="en-US"/>
        </w:rPr>
        <w:t>, maximum of 22 samples case be tested)</w:t>
      </w:r>
      <w:r w:rsidRPr="007874A6">
        <w:rPr>
          <w:b/>
          <w:bCs/>
          <w:lang w:val="en-US"/>
        </w:rPr>
        <w:t>.</w:t>
      </w:r>
      <w:r w:rsidRPr="000B12D9">
        <w:rPr>
          <w:lang w:val="en-US"/>
        </w:rPr>
        <w:t xml:space="preserve"> If the sample is received by the NVRL by 9.30 am</w:t>
      </w:r>
      <w:r w:rsidR="001B4D6E" w:rsidRPr="000B12D9">
        <w:rPr>
          <w:lang w:val="en-US"/>
        </w:rPr>
        <w:t>, the measles</w:t>
      </w:r>
      <w:r w:rsidRPr="000B12D9">
        <w:rPr>
          <w:lang w:val="en-US"/>
        </w:rPr>
        <w:t xml:space="preserve"> RNA result </w:t>
      </w:r>
      <w:r w:rsidR="007874A6">
        <w:rPr>
          <w:lang w:val="en-US"/>
        </w:rPr>
        <w:t xml:space="preserve">will be </w:t>
      </w:r>
      <w:r w:rsidRPr="000B12D9">
        <w:rPr>
          <w:lang w:val="en-US"/>
        </w:rPr>
        <w:t xml:space="preserve">available the same day providing the sample is suitable (i.e. sufficient cells). If the result is inconclusive, the sample may be investigated again the next day. </w:t>
      </w:r>
    </w:p>
    <w:p w14:paraId="4AFCDA0E" w14:textId="7A9D9006" w:rsidR="000B12D9" w:rsidRPr="000B12D9" w:rsidRDefault="000B12D9" w:rsidP="000B12D9">
      <w:pPr>
        <w:spacing w:line="276" w:lineRule="auto"/>
        <w:rPr>
          <w:lang w:val="en-US"/>
        </w:rPr>
      </w:pPr>
      <w:r w:rsidRPr="000B12D9">
        <w:rPr>
          <w:b/>
          <w:lang w:val="en-US"/>
        </w:rPr>
        <w:t>IgM DETECTION</w:t>
      </w:r>
      <w:r w:rsidRPr="000B12D9">
        <w:rPr>
          <w:lang w:val="en-US"/>
        </w:rPr>
        <w:t xml:space="preserve">: The day the rash develops up to 4 to 5 weeks. </w:t>
      </w:r>
    </w:p>
    <w:p w14:paraId="6146150A" w14:textId="77777777" w:rsidR="000B12D9" w:rsidRPr="000B12D9" w:rsidRDefault="000B12D9" w:rsidP="000B12D9">
      <w:pPr>
        <w:pStyle w:val="Heading3"/>
        <w:rPr>
          <w:color w:val="006152"/>
          <w:lang w:val="en-US"/>
        </w:rPr>
      </w:pPr>
      <w:r w:rsidRPr="000B12D9">
        <w:rPr>
          <w:color w:val="006152"/>
          <w:lang w:val="en-US"/>
        </w:rPr>
        <w:t>2. Serum samples</w:t>
      </w:r>
    </w:p>
    <w:p w14:paraId="58A2052F" w14:textId="79805A4B" w:rsidR="000B12D9" w:rsidRPr="000B12D9" w:rsidRDefault="000B12D9" w:rsidP="000B12D9">
      <w:pPr>
        <w:spacing w:line="276" w:lineRule="auto"/>
        <w:rPr>
          <w:lang w:val="en-US"/>
        </w:rPr>
      </w:pPr>
      <w:r w:rsidRPr="000B12D9">
        <w:rPr>
          <w:lang w:val="en-US"/>
        </w:rPr>
        <w:t>Serum samples can be used to detect measles IgM and measles IgG. Measles IgM can be detected 4 days after rash onset. The added value of the serum sample is that measles IgG can also be detected, and this provides information regarding the immune status of an individual following exposure for patient management and also to determine if the infection is a primary infection or breakthrough (reinfection) infection.</w:t>
      </w:r>
    </w:p>
    <w:p w14:paraId="5AADD322" w14:textId="3797A0E2" w:rsidR="000B12D9" w:rsidRDefault="000B12D9" w:rsidP="000B12D9">
      <w:pPr>
        <w:spacing w:line="276" w:lineRule="auto"/>
        <w:rPr>
          <w:lang w:val="en-US"/>
        </w:rPr>
      </w:pPr>
      <w:r w:rsidRPr="000B12D9">
        <w:rPr>
          <w:lang w:val="en-US"/>
        </w:rPr>
        <w:t xml:space="preserve">In situations when the rash has developed greater than 4 days, a serum sample should be collected, and diagnosis can be confirmed within hours of arrival at the NVRL and </w:t>
      </w:r>
      <w:r w:rsidRPr="007874A6">
        <w:rPr>
          <w:b/>
          <w:bCs/>
          <w:lang w:val="en-US"/>
        </w:rPr>
        <w:t>t</w:t>
      </w:r>
      <w:r w:rsidRPr="000B12D9">
        <w:rPr>
          <w:b/>
          <w:lang w:val="en-US"/>
        </w:rPr>
        <w:t>his is available 7 days a week</w:t>
      </w:r>
      <w:r w:rsidRPr="000B12D9">
        <w:rPr>
          <w:lang w:val="en-US"/>
        </w:rPr>
        <w:t xml:space="preserve">. Therefore, this approach could provide a more rapid diagnosis of acute measles infection. If possible, an </w:t>
      </w:r>
      <w:proofErr w:type="spellStart"/>
      <w:r w:rsidRPr="000B12D9">
        <w:rPr>
          <w:lang w:val="en-US"/>
        </w:rPr>
        <w:t>OraCol</w:t>
      </w:r>
      <w:proofErr w:type="spellEnd"/>
      <w:r w:rsidRPr="000B12D9">
        <w:rPr>
          <w:lang w:val="en-US"/>
        </w:rPr>
        <w:t xml:space="preserve"> sample should be collected in parallel </w:t>
      </w:r>
      <w:r w:rsidR="007874A6">
        <w:rPr>
          <w:lang w:val="en-US"/>
        </w:rPr>
        <w:t xml:space="preserve">to serum sample </w:t>
      </w:r>
      <w:r w:rsidRPr="000B12D9">
        <w:rPr>
          <w:lang w:val="en-US"/>
        </w:rPr>
        <w:t>for measles RNA determination and genotyping.</w:t>
      </w:r>
    </w:p>
    <w:p w14:paraId="4F03D4A5" w14:textId="32F6FB0B" w:rsidR="00195488" w:rsidRPr="000B12D9" w:rsidRDefault="00195488" w:rsidP="000B12D9">
      <w:pPr>
        <w:spacing w:line="276" w:lineRule="auto"/>
        <w:rPr>
          <w:lang w:val="en-US"/>
        </w:rPr>
      </w:pPr>
      <w:r>
        <w:rPr>
          <w:b/>
          <w:lang w:val="en-US"/>
        </w:rPr>
        <w:t xml:space="preserve">Note: Out of hours contact details are available here </w:t>
      </w:r>
      <w:hyperlink r:id="rId20" w:history="1">
        <w:r w:rsidRPr="00195488">
          <w:rPr>
            <w:rStyle w:val="Hyperlink"/>
            <w:b/>
            <w:lang w:val="en-US"/>
          </w:rPr>
          <w:t>NVRL out</w:t>
        </w:r>
        <w:r>
          <w:rPr>
            <w:rStyle w:val="Hyperlink"/>
            <w:b/>
            <w:lang w:val="en-US"/>
          </w:rPr>
          <w:t>-</w:t>
        </w:r>
        <w:r w:rsidRPr="00195488">
          <w:rPr>
            <w:rStyle w:val="Hyperlink"/>
            <w:b/>
            <w:lang w:val="en-US"/>
          </w:rPr>
          <w:t xml:space="preserve"> of</w:t>
        </w:r>
        <w:r>
          <w:rPr>
            <w:rStyle w:val="Hyperlink"/>
            <w:b/>
            <w:lang w:val="en-US"/>
          </w:rPr>
          <w:t>-</w:t>
        </w:r>
        <w:r w:rsidRPr="00195488">
          <w:rPr>
            <w:rStyle w:val="Hyperlink"/>
            <w:b/>
            <w:lang w:val="en-US"/>
          </w:rPr>
          <w:t xml:space="preserve"> hours service</w:t>
        </w:r>
      </w:hyperlink>
    </w:p>
    <w:p w14:paraId="5989B13E" w14:textId="77777777" w:rsidR="000B12D9" w:rsidRPr="000B12D9" w:rsidRDefault="000B12D9" w:rsidP="000B12D9">
      <w:pPr>
        <w:spacing w:before="240" w:line="276" w:lineRule="auto"/>
        <w:rPr>
          <w:b/>
          <w:sz w:val="24"/>
          <w:szCs w:val="24"/>
          <w:lang w:val="en-US"/>
        </w:rPr>
      </w:pPr>
      <w:r w:rsidRPr="000B12D9">
        <w:rPr>
          <w:b/>
          <w:sz w:val="24"/>
          <w:szCs w:val="24"/>
          <w:lang w:val="en-US"/>
        </w:rPr>
        <w:t>Optimal sample collection</w:t>
      </w:r>
    </w:p>
    <w:p w14:paraId="126174F6" w14:textId="77777777" w:rsidR="000B12D9" w:rsidRPr="000B12D9" w:rsidRDefault="000B12D9" w:rsidP="000B12D9">
      <w:pPr>
        <w:spacing w:line="276" w:lineRule="auto"/>
        <w:rPr>
          <w:lang w:val="en-US"/>
        </w:rPr>
      </w:pPr>
      <w:r w:rsidRPr="000B12D9">
        <w:rPr>
          <w:b/>
          <w:lang w:val="en-US"/>
        </w:rPr>
        <w:t>Measles IgM and IgG</w:t>
      </w:r>
      <w:r w:rsidRPr="000B12D9">
        <w:rPr>
          <w:lang w:val="en-US"/>
        </w:rPr>
        <w:t>: For patients with rash onset greater than 4 days -results available within 2 hours of receipt at the NVRL</w:t>
      </w:r>
    </w:p>
    <w:p w14:paraId="3FD0C840" w14:textId="77777777" w:rsidR="000B12D9" w:rsidRPr="000B12D9" w:rsidRDefault="000B12D9" w:rsidP="000B12D9">
      <w:pPr>
        <w:spacing w:line="276" w:lineRule="auto"/>
        <w:rPr>
          <w:lang w:val="en-US"/>
        </w:rPr>
      </w:pPr>
      <w:r w:rsidRPr="000B12D9">
        <w:rPr>
          <w:b/>
          <w:lang w:val="en-US"/>
        </w:rPr>
        <w:t>Measles IgG</w:t>
      </w:r>
      <w:r w:rsidRPr="000B12D9">
        <w:rPr>
          <w:lang w:val="en-US"/>
        </w:rPr>
        <w:t xml:space="preserve">: For immune status and breakthrough infection investigation. </w:t>
      </w:r>
    </w:p>
    <w:p w14:paraId="479F12A5" w14:textId="77777777" w:rsidR="000B12D9" w:rsidRPr="000B12D9" w:rsidRDefault="000B12D9" w:rsidP="000B12D9">
      <w:pPr>
        <w:spacing w:line="276" w:lineRule="auto"/>
        <w:rPr>
          <w:b/>
          <w:lang w:val="en-US"/>
        </w:rPr>
      </w:pPr>
      <w:r w:rsidRPr="000B12D9">
        <w:rPr>
          <w:i/>
          <w:lang w:val="en-US"/>
        </w:rPr>
        <w:t>Please note that the measles IgG assay was not designed to determine the measles vaccine response. Therefore, whilst the test is useful to guide immediate patient management following exposure to determine susceptibility, the assay should not be used to determine previous vaccine response</w:t>
      </w:r>
      <w:r w:rsidRPr="000B12D9">
        <w:rPr>
          <w:lang w:val="en-US"/>
        </w:rPr>
        <w:t xml:space="preserve">. </w:t>
      </w:r>
    </w:p>
    <w:p w14:paraId="3C9B2426" w14:textId="4809AD90" w:rsidR="000B12D9" w:rsidRPr="000B12D9" w:rsidRDefault="000B12D9" w:rsidP="000B12D9">
      <w:pPr>
        <w:spacing w:line="276" w:lineRule="auto"/>
        <w:rPr>
          <w:lang w:val="en-US"/>
        </w:rPr>
      </w:pPr>
      <w:r w:rsidRPr="000B12D9">
        <w:rPr>
          <w:lang w:val="en-US"/>
        </w:rPr>
        <w:lastRenderedPageBreak/>
        <w:t xml:space="preserve">Measles IgM detection using either the </w:t>
      </w:r>
      <w:proofErr w:type="spellStart"/>
      <w:r w:rsidRPr="000B12D9">
        <w:rPr>
          <w:lang w:val="en-US"/>
        </w:rPr>
        <w:t>OraCol</w:t>
      </w:r>
      <w:proofErr w:type="spellEnd"/>
      <w:r w:rsidRPr="000B12D9">
        <w:rPr>
          <w:lang w:val="en-US"/>
        </w:rPr>
        <w:t xml:space="preserve"> or serum is important to out</w:t>
      </w:r>
      <w:r w:rsidR="00195488">
        <w:rPr>
          <w:lang w:val="en-US"/>
        </w:rPr>
        <w:t>-</w:t>
      </w:r>
      <w:r w:rsidRPr="000B12D9">
        <w:rPr>
          <w:lang w:val="en-US"/>
        </w:rPr>
        <w:t xml:space="preserve">rule measles infection and to discard possible cases. </w:t>
      </w:r>
    </w:p>
    <w:p w14:paraId="26C6A856" w14:textId="77777777" w:rsidR="000B12D9" w:rsidRPr="00A47425" w:rsidRDefault="000B12D9" w:rsidP="00A47425">
      <w:pPr>
        <w:pStyle w:val="Heading3"/>
        <w:rPr>
          <w:color w:val="006152"/>
          <w:lang w:val="en-US"/>
        </w:rPr>
      </w:pPr>
      <w:r w:rsidRPr="00A47425">
        <w:rPr>
          <w:color w:val="006152"/>
          <w:lang w:val="en-US"/>
        </w:rPr>
        <w:t>3. Throat swabs or mouth swabs</w:t>
      </w:r>
    </w:p>
    <w:p w14:paraId="2E34BF9D" w14:textId="77777777" w:rsidR="000B12D9" w:rsidRPr="000B12D9" w:rsidRDefault="000B12D9" w:rsidP="000B12D9">
      <w:pPr>
        <w:spacing w:line="276" w:lineRule="auto"/>
        <w:rPr>
          <w:b/>
          <w:lang w:val="en-US"/>
        </w:rPr>
      </w:pPr>
      <w:r w:rsidRPr="000B12D9">
        <w:rPr>
          <w:lang w:val="en-US"/>
        </w:rPr>
        <w:t>Throat swabs (VTM or UTM) and mouth swabs (VTM or UTM) can be used to detect Measles RNA within 6 days of rash onset.  It is recommended that these samples are collected by a health professional.  These sample types are not suitable for IgM investigations</w:t>
      </w:r>
      <w:r w:rsidRPr="000B12D9">
        <w:rPr>
          <w:b/>
          <w:lang w:val="en-US"/>
        </w:rPr>
        <w:t xml:space="preserve">. </w:t>
      </w:r>
    </w:p>
    <w:p w14:paraId="38A7B1BE" w14:textId="77777777" w:rsidR="000B12D9" w:rsidRPr="000B12D9" w:rsidRDefault="000B12D9" w:rsidP="000B12D9">
      <w:pPr>
        <w:spacing w:line="276" w:lineRule="auto"/>
        <w:rPr>
          <w:b/>
          <w:sz w:val="24"/>
          <w:szCs w:val="24"/>
          <w:lang w:val="en-US"/>
        </w:rPr>
      </w:pPr>
      <w:r w:rsidRPr="000B12D9">
        <w:rPr>
          <w:b/>
          <w:sz w:val="24"/>
          <w:szCs w:val="24"/>
          <w:lang w:val="en-US"/>
        </w:rPr>
        <w:t>Optimal sample collection</w:t>
      </w:r>
    </w:p>
    <w:p w14:paraId="145A9959" w14:textId="72E8E27A" w:rsidR="000B12D9" w:rsidRDefault="000B12D9" w:rsidP="000B12D9">
      <w:pPr>
        <w:spacing w:line="276" w:lineRule="auto"/>
        <w:rPr>
          <w:b/>
          <w:lang w:val="en-US"/>
        </w:rPr>
      </w:pPr>
      <w:r w:rsidRPr="000B12D9">
        <w:rPr>
          <w:lang w:val="en-US"/>
        </w:rPr>
        <w:t>Throat swabs and mouth swabs: Measles RNA DETECTION ONLY within 6 days of rash onset</w:t>
      </w:r>
      <w:r w:rsidRPr="000B12D9">
        <w:rPr>
          <w:b/>
          <w:lang w:val="en-US"/>
        </w:rPr>
        <w:t xml:space="preserve">. </w:t>
      </w:r>
    </w:p>
    <w:p w14:paraId="6B455495" w14:textId="33D191E7" w:rsidR="0078509F" w:rsidRDefault="0078509F" w:rsidP="000B12D9">
      <w:pPr>
        <w:spacing w:line="276" w:lineRule="auto"/>
        <w:rPr>
          <w:b/>
          <w:lang w:val="en-US"/>
        </w:rPr>
      </w:pPr>
      <w:r>
        <w:rPr>
          <w:b/>
          <w:lang w:val="en-US"/>
        </w:rPr>
        <w:t>Figure 1. UTM swab</w:t>
      </w:r>
    </w:p>
    <w:p w14:paraId="6313E78E" w14:textId="2A88BF10" w:rsidR="0078509F" w:rsidRDefault="0078509F" w:rsidP="000B12D9">
      <w:pPr>
        <w:spacing w:line="276" w:lineRule="auto"/>
        <w:rPr>
          <w:b/>
          <w:lang w:val="en-US"/>
        </w:rPr>
      </w:pPr>
      <w:r>
        <w:rPr>
          <w:noProof/>
          <w:lang w:eastAsia="en-IE"/>
        </w:rPr>
        <w:drawing>
          <wp:inline distT="0" distB="0" distL="0" distR="0" wp14:anchorId="5B16A1E7" wp14:editId="0F6A1801">
            <wp:extent cx="1624782" cy="1845562"/>
            <wp:effectExtent l="3810" t="0" r="0" b="0"/>
            <wp:docPr id="1973706442" name="Picture 1" descr="A plastic bag with a tube and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06442" name="Picture 1" descr="A plastic bag with a tube and a syring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1650251" cy="1874492"/>
                    </a:xfrm>
                    <a:prstGeom prst="rect">
                      <a:avLst/>
                    </a:prstGeom>
                    <a:noFill/>
                    <a:ln>
                      <a:noFill/>
                    </a:ln>
                  </pic:spPr>
                </pic:pic>
              </a:graphicData>
            </a:graphic>
          </wp:inline>
        </w:drawing>
      </w:r>
    </w:p>
    <w:p w14:paraId="51B3EADD" w14:textId="77777777" w:rsidR="00D65C4C" w:rsidRDefault="00D65C4C" w:rsidP="00A47425">
      <w:pPr>
        <w:pStyle w:val="Heading3"/>
        <w:rPr>
          <w:color w:val="006152"/>
          <w:lang w:val="en-US"/>
        </w:rPr>
      </w:pPr>
    </w:p>
    <w:p w14:paraId="72B99E35" w14:textId="3FDB8784" w:rsidR="000B12D9" w:rsidRPr="00A47425" w:rsidRDefault="000B12D9" w:rsidP="00A47425">
      <w:pPr>
        <w:pStyle w:val="Heading3"/>
        <w:rPr>
          <w:color w:val="006152"/>
          <w:lang w:val="en-US"/>
        </w:rPr>
      </w:pPr>
      <w:r w:rsidRPr="00A47425">
        <w:rPr>
          <w:color w:val="006152"/>
          <w:lang w:val="en-US"/>
        </w:rPr>
        <w:t>4. Urine and EDTA blood</w:t>
      </w:r>
    </w:p>
    <w:p w14:paraId="55F73DE8" w14:textId="77777777" w:rsidR="000B12D9" w:rsidRPr="000B12D9" w:rsidRDefault="000B12D9" w:rsidP="000B12D9">
      <w:pPr>
        <w:rPr>
          <w:b/>
          <w:lang w:val="en-US"/>
        </w:rPr>
      </w:pPr>
      <w:r w:rsidRPr="000B12D9">
        <w:rPr>
          <w:lang w:val="en-US"/>
        </w:rPr>
        <w:t xml:space="preserve">These sample types </w:t>
      </w:r>
      <w:r w:rsidRPr="000B12D9">
        <w:rPr>
          <w:u w:val="single"/>
          <w:lang w:val="en-US"/>
        </w:rPr>
        <w:t>are not recommended</w:t>
      </w:r>
      <w:r w:rsidRPr="000B12D9">
        <w:rPr>
          <w:lang w:val="en-US"/>
        </w:rPr>
        <w:t xml:space="preserve"> for measles investigation</w:t>
      </w:r>
      <w:r w:rsidRPr="000B12D9">
        <w:rPr>
          <w:b/>
          <w:lang w:val="en-US"/>
        </w:rPr>
        <w:t>.</w:t>
      </w:r>
    </w:p>
    <w:p w14:paraId="259DF5D3" w14:textId="3071F29E" w:rsidR="00302491" w:rsidRPr="00195488" w:rsidRDefault="0078509F" w:rsidP="0078509F">
      <w:pPr>
        <w:pStyle w:val="Heading3"/>
        <w:rPr>
          <w:color w:val="006152"/>
        </w:rPr>
      </w:pPr>
      <w:r w:rsidRPr="00195488">
        <w:rPr>
          <w:color w:val="006152"/>
        </w:rPr>
        <w:t xml:space="preserve">5. </w:t>
      </w:r>
      <w:r w:rsidR="00302491" w:rsidRPr="00195488">
        <w:rPr>
          <w:color w:val="006152"/>
        </w:rPr>
        <w:t xml:space="preserve">Transport </w:t>
      </w:r>
      <w:r w:rsidR="004C15B1">
        <w:rPr>
          <w:color w:val="006152"/>
        </w:rPr>
        <w:t>of samples to NVRL</w:t>
      </w:r>
    </w:p>
    <w:p w14:paraId="2CF36F2F" w14:textId="77777777" w:rsidR="004C15B1" w:rsidRDefault="00302491" w:rsidP="004C15B1">
      <w:pPr>
        <w:pStyle w:val="xmsonormal"/>
        <w:numPr>
          <w:ilvl w:val="0"/>
          <w:numId w:val="9"/>
        </w:numPr>
        <w:rPr>
          <w:rFonts w:ascii="Calibri" w:hAnsi="Calibri" w:cs="Calibri"/>
          <w:sz w:val="22"/>
          <w:szCs w:val="22"/>
        </w:rPr>
      </w:pPr>
      <w:r>
        <w:rPr>
          <w:rFonts w:ascii="Calibri" w:hAnsi="Calibri" w:cs="Calibri"/>
          <w:sz w:val="22"/>
          <w:szCs w:val="22"/>
        </w:rPr>
        <w:t>T</w:t>
      </w:r>
      <w:r w:rsidR="000B12D9" w:rsidRPr="005C0B75">
        <w:rPr>
          <w:rFonts w:ascii="Calibri" w:hAnsi="Calibri" w:cs="Calibri"/>
          <w:sz w:val="22"/>
          <w:szCs w:val="22"/>
        </w:rPr>
        <w:t xml:space="preserve">here are scheduled courier services that </w:t>
      </w:r>
      <w:r w:rsidR="004C15B1">
        <w:rPr>
          <w:rFonts w:ascii="Calibri" w:hAnsi="Calibri" w:cs="Calibri"/>
          <w:sz w:val="22"/>
          <w:szCs w:val="22"/>
        </w:rPr>
        <w:t xml:space="preserve">routinely </w:t>
      </w:r>
      <w:r w:rsidR="000B12D9" w:rsidRPr="005C0B75">
        <w:rPr>
          <w:rFonts w:ascii="Calibri" w:hAnsi="Calibri" w:cs="Calibri"/>
          <w:sz w:val="22"/>
          <w:szCs w:val="22"/>
        </w:rPr>
        <w:t xml:space="preserve">link hospital laboratories to NVRL, link hospitals to hospitals, and </w:t>
      </w:r>
      <w:r w:rsidR="00195488">
        <w:rPr>
          <w:rFonts w:ascii="Calibri" w:hAnsi="Calibri" w:cs="Calibri"/>
          <w:sz w:val="22"/>
          <w:szCs w:val="22"/>
        </w:rPr>
        <w:t>may also be used by p</w:t>
      </w:r>
      <w:r w:rsidR="000B12D9" w:rsidRPr="005C0B75">
        <w:rPr>
          <w:rFonts w:ascii="Calibri" w:hAnsi="Calibri" w:cs="Calibri"/>
          <w:sz w:val="22"/>
          <w:szCs w:val="22"/>
        </w:rPr>
        <w:t xml:space="preserve">rimary care practices to </w:t>
      </w:r>
      <w:r w:rsidR="00195488">
        <w:rPr>
          <w:rFonts w:ascii="Calibri" w:hAnsi="Calibri" w:cs="Calibri"/>
          <w:sz w:val="22"/>
          <w:szCs w:val="22"/>
        </w:rPr>
        <w:t xml:space="preserve">send to </w:t>
      </w:r>
      <w:r w:rsidR="000B12D9" w:rsidRPr="005C0B75">
        <w:rPr>
          <w:rFonts w:ascii="Calibri" w:hAnsi="Calibri" w:cs="Calibri"/>
          <w:sz w:val="22"/>
          <w:szCs w:val="22"/>
        </w:rPr>
        <w:t>hospital labs</w:t>
      </w:r>
      <w:r w:rsidR="004C15B1">
        <w:rPr>
          <w:rFonts w:ascii="Calibri" w:hAnsi="Calibri" w:cs="Calibri"/>
          <w:sz w:val="22"/>
          <w:szCs w:val="22"/>
        </w:rPr>
        <w:t xml:space="preserve">. </w:t>
      </w:r>
    </w:p>
    <w:p w14:paraId="4CC3323B" w14:textId="5CC9FBAE" w:rsidR="00445C25" w:rsidRDefault="00445C25" w:rsidP="004C15B1">
      <w:pPr>
        <w:pStyle w:val="xmsonormal"/>
        <w:numPr>
          <w:ilvl w:val="0"/>
          <w:numId w:val="9"/>
        </w:numPr>
        <w:rPr>
          <w:rFonts w:ascii="Calibri" w:hAnsi="Calibri" w:cs="Calibri"/>
          <w:sz w:val="22"/>
          <w:szCs w:val="22"/>
        </w:rPr>
      </w:pPr>
      <w:r>
        <w:rPr>
          <w:rFonts w:ascii="Calibri" w:hAnsi="Calibri" w:cs="Calibri"/>
          <w:sz w:val="22"/>
          <w:szCs w:val="22"/>
        </w:rPr>
        <w:t xml:space="preserve">Patients seen Monday-Thursday in primary care </w:t>
      </w:r>
    </w:p>
    <w:p w14:paraId="000630B7" w14:textId="3402345C" w:rsidR="00445C25" w:rsidRDefault="004C15B1" w:rsidP="00445C25">
      <w:pPr>
        <w:pStyle w:val="xmsonormal"/>
        <w:numPr>
          <w:ilvl w:val="1"/>
          <w:numId w:val="9"/>
        </w:numPr>
        <w:rPr>
          <w:rFonts w:ascii="Calibri" w:hAnsi="Calibri" w:cs="Calibri"/>
          <w:sz w:val="22"/>
          <w:szCs w:val="22"/>
        </w:rPr>
      </w:pPr>
      <w:r>
        <w:rPr>
          <w:rFonts w:ascii="Calibri" w:hAnsi="Calibri" w:cs="Calibri"/>
          <w:sz w:val="22"/>
          <w:szCs w:val="22"/>
        </w:rPr>
        <w:t>GPs are recommended to send samples</w:t>
      </w:r>
      <w:r w:rsidR="00445C25">
        <w:rPr>
          <w:rFonts w:ascii="Calibri" w:hAnsi="Calibri" w:cs="Calibri"/>
          <w:sz w:val="22"/>
          <w:szCs w:val="22"/>
        </w:rPr>
        <w:t xml:space="preserve"> </w:t>
      </w:r>
      <w:r>
        <w:rPr>
          <w:rFonts w:ascii="Calibri" w:hAnsi="Calibri" w:cs="Calibri"/>
          <w:sz w:val="22"/>
          <w:szCs w:val="22"/>
        </w:rPr>
        <w:t>to the regional/local hospital laboratory- this will allow transport to NVRL the following day as part of routine transport of samples</w:t>
      </w:r>
      <w:r w:rsidR="00445C25">
        <w:rPr>
          <w:rFonts w:ascii="Calibri" w:hAnsi="Calibri" w:cs="Calibri"/>
          <w:sz w:val="22"/>
          <w:szCs w:val="22"/>
        </w:rPr>
        <w:t xml:space="preserve"> from the local laboratory</w:t>
      </w:r>
      <w:r>
        <w:rPr>
          <w:rFonts w:ascii="Calibri" w:hAnsi="Calibri" w:cs="Calibri"/>
          <w:sz w:val="22"/>
          <w:szCs w:val="22"/>
        </w:rPr>
        <w:t>.</w:t>
      </w:r>
    </w:p>
    <w:p w14:paraId="5464E196" w14:textId="77777777" w:rsidR="00445C25" w:rsidRDefault="00445C25" w:rsidP="00445C25">
      <w:pPr>
        <w:pStyle w:val="xmsonormal"/>
        <w:numPr>
          <w:ilvl w:val="0"/>
          <w:numId w:val="9"/>
        </w:numPr>
        <w:rPr>
          <w:rFonts w:ascii="Calibri" w:hAnsi="Calibri" w:cs="Calibri"/>
          <w:sz w:val="22"/>
          <w:szCs w:val="22"/>
        </w:rPr>
      </w:pPr>
      <w:r>
        <w:rPr>
          <w:rFonts w:ascii="Calibri" w:hAnsi="Calibri" w:cs="Calibri"/>
          <w:sz w:val="22"/>
          <w:szCs w:val="22"/>
        </w:rPr>
        <w:t>Patients seen on Friday or Saturday</w:t>
      </w:r>
    </w:p>
    <w:p w14:paraId="79753DFB" w14:textId="62B2E3BE" w:rsidR="004C15B1" w:rsidRDefault="004C15B1" w:rsidP="00445C25">
      <w:pPr>
        <w:pStyle w:val="xmsonormal"/>
        <w:numPr>
          <w:ilvl w:val="1"/>
          <w:numId w:val="9"/>
        </w:numPr>
        <w:rPr>
          <w:rFonts w:ascii="Calibri" w:hAnsi="Calibri" w:cs="Calibri"/>
          <w:sz w:val="22"/>
          <w:szCs w:val="22"/>
        </w:rPr>
      </w:pPr>
      <w:r>
        <w:rPr>
          <w:rFonts w:ascii="Calibri" w:hAnsi="Calibri" w:cs="Calibri"/>
          <w:sz w:val="22"/>
          <w:szCs w:val="22"/>
        </w:rPr>
        <w:t xml:space="preserve">GPs are recommended to contact their local Department of Public Health </w:t>
      </w:r>
      <w:r w:rsidR="00445C25">
        <w:rPr>
          <w:rFonts w:ascii="Calibri" w:hAnsi="Calibri" w:cs="Calibri"/>
          <w:sz w:val="22"/>
          <w:szCs w:val="22"/>
        </w:rPr>
        <w:t xml:space="preserve">and </w:t>
      </w:r>
      <w:r>
        <w:rPr>
          <w:rFonts w:ascii="Calibri" w:hAnsi="Calibri" w:cs="Calibri"/>
          <w:sz w:val="22"/>
          <w:szCs w:val="22"/>
        </w:rPr>
        <w:t xml:space="preserve">request courier service to </w:t>
      </w:r>
      <w:r w:rsidR="00445C25">
        <w:rPr>
          <w:rFonts w:ascii="Calibri" w:hAnsi="Calibri" w:cs="Calibri"/>
          <w:sz w:val="22"/>
          <w:szCs w:val="22"/>
        </w:rPr>
        <w:t>facilitate rapid turn-around-time in testing and results</w:t>
      </w:r>
    </w:p>
    <w:p w14:paraId="458BF1FA" w14:textId="21D8139D" w:rsidR="004C15B1" w:rsidRDefault="004C15B1" w:rsidP="004C15B1">
      <w:pPr>
        <w:pStyle w:val="xmsonormal"/>
        <w:numPr>
          <w:ilvl w:val="0"/>
          <w:numId w:val="9"/>
        </w:numPr>
        <w:rPr>
          <w:rFonts w:ascii="Calibri" w:hAnsi="Calibri" w:cs="Calibri"/>
          <w:sz w:val="22"/>
          <w:szCs w:val="22"/>
        </w:rPr>
      </w:pPr>
      <w:r>
        <w:rPr>
          <w:rFonts w:ascii="Calibri" w:hAnsi="Calibri" w:cs="Calibri"/>
          <w:sz w:val="22"/>
          <w:szCs w:val="22"/>
        </w:rPr>
        <w:t xml:space="preserve">GPs are advised </w:t>
      </w:r>
      <w:r w:rsidRPr="00445C25">
        <w:rPr>
          <w:rFonts w:ascii="Calibri" w:hAnsi="Calibri" w:cs="Calibri"/>
          <w:sz w:val="22"/>
          <w:szCs w:val="22"/>
          <w:u w:val="single"/>
        </w:rPr>
        <w:t>not to send samples to NVRL by post</w:t>
      </w:r>
      <w:r>
        <w:rPr>
          <w:rFonts w:ascii="Calibri" w:hAnsi="Calibri" w:cs="Calibri"/>
          <w:sz w:val="22"/>
          <w:szCs w:val="22"/>
        </w:rPr>
        <w:t xml:space="preserve"> as this leads to delay in diagnosis. </w:t>
      </w:r>
    </w:p>
    <w:p w14:paraId="0AF03227" w14:textId="3BC0C468" w:rsidR="004C15B1" w:rsidRDefault="00445C25" w:rsidP="00445C25">
      <w:pPr>
        <w:rPr>
          <w:rFonts w:ascii="Calibri" w:hAnsi="Calibri" w:cs="Calibri"/>
        </w:rPr>
      </w:pPr>
      <w:r>
        <w:rPr>
          <w:rFonts w:ascii="Calibri" w:hAnsi="Calibri" w:cs="Calibri"/>
        </w:rPr>
        <w:br w:type="page"/>
      </w:r>
    </w:p>
    <w:p w14:paraId="51FB33D0" w14:textId="2C4EBACB" w:rsidR="000B12D9" w:rsidRPr="000B12D9" w:rsidRDefault="000B12D9" w:rsidP="000B12D9">
      <w:pPr>
        <w:pStyle w:val="Heading2"/>
        <w:numPr>
          <w:ilvl w:val="0"/>
          <w:numId w:val="4"/>
        </w:numPr>
        <w:rPr>
          <w:b/>
          <w:bCs/>
          <w:color w:val="006152"/>
          <w:lang w:val="en-US"/>
        </w:rPr>
      </w:pPr>
      <w:r w:rsidRPr="000B12D9">
        <w:rPr>
          <w:b/>
          <w:bCs/>
          <w:color w:val="006152"/>
          <w:lang w:val="en-US"/>
        </w:rPr>
        <w:lastRenderedPageBreak/>
        <w:t xml:space="preserve">Diagram describing test results and temporal correlation with symptoms </w:t>
      </w:r>
    </w:p>
    <w:p w14:paraId="2CFF9E89" w14:textId="77777777" w:rsidR="000B12D9" w:rsidRDefault="000B12D9" w:rsidP="000B12D9">
      <w:pPr>
        <w:rPr>
          <w:b/>
          <w:sz w:val="20"/>
          <w:szCs w:val="20"/>
          <w:lang w:val="en-US"/>
        </w:rPr>
      </w:pPr>
    </w:p>
    <w:p w14:paraId="6571BDCA" w14:textId="1CE8021A" w:rsidR="000B12D9" w:rsidRPr="0023491A" w:rsidRDefault="000B12D9" w:rsidP="000B12D9">
      <w:pPr>
        <w:spacing w:line="276" w:lineRule="auto"/>
        <w:rPr>
          <w:sz w:val="24"/>
          <w:szCs w:val="24"/>
          <w:lang w:val="en-US"/>
        </w:rPr>
      </w:pPr>
      <w:r w:rsidRPr="00AB71C4">
        <w:rPr>
          <w:sz w:val="20"/>
          <w:szCs w:val="20"/>
          <w:lang w:val="en-US"/>
        </w:rPr>
        <w:t xml:space="preserve"> </w:t>
      </w:r>
      <w:r w:rsidRPr="000B12D9">
        <w:rPr>
          <w:b/>
          <w:lang w:val="en-US"/>
        </w:rPr>
        <w:t xml:space="preserve">Figure </w:t>
      </w:r>
      <w:r w:rsidR="0078509F">
        <w:rPr>
          <w:b/>
          <w:lang w:val="en-US"/>
        </w:rPr>
        <w:t>2</w:t>
      </w:r>
      <w:r w:rsidRPr="000B12D9">
        <w:rPr>
          <w:b/>
          <w:lang w:val="en-US"/>
        </w:rPr>
        <w:t>.</w:t>
      </w:r>
      <w:r w:rsidRPr="000B12D9">
        <w:rPr>
          <w:lang w:val="en-US"/>
        </w:rPr>
        <w:t xml:space="preserve"> Timeline of measles symptoms and laboratory testing</w:t>
      </w:r>
    </w:p>
    <w:p w14:paraId="578AEE49" w14:textId="77777777" w:rsidR="000B12D9" w:rsidRDefault="000B12D9" w:rsidP="000B12D9">
      <w:pPr>
        <w:pStyle w:val="Heading1"/>
        <w:rPr>
          <w:lang w:val="en-US"/>
        </w:rPr>
      </w:pPr>
      <w:r w:rsidRPr="00AB71C4">
        <w:rPr>
          <w:noProof/>
          <w:lang w:eastAsia="en-IE"/>
        </w:rPr>
        <w:drawing>
          <wp:inline distT="0" distB="0" distL="0" distR="0" wp14:anchorId="31D6258A" wp14:editId="0EC8D8EC">
            <wp:extent cx="4107976" cy="1530079"/>
            <wp:effectExtent l="0" t="0" r="6985" b="0"/>
            <wp:docPr id="1499387246" name="Picture 1499387246" descr="A graph of a dise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87246" name="Picture 1499387246" descr="A graph of a disease&#10;&#10;Description automatically generated with medium confidence"/>
                    <pic:cNvPicPr/>
                  </pic:nvPicPr>
                  <pic:blipFill>
                    <a:blip r:embed="rId22"/>
                    <a:stretch>
                      <a:fillRect/>
                    </a:stretch>
                  </pic:blipFill>
                  <pic:spPr>
                    <a:xfrm>
                      <a:off x="0" y="0"/>
                      <a:ext cx="4147654" cy="1544858"/>
                    </a:xfrm>
                    <a:prstGeom prst="rect">
                      <a:avLst/>
                    </a:prstGeom>
                  </pic:spPr>
                </pic:pic>
              </a:graphicData>
            </a:graphic>
          </wp:inline>
        </w:drawing>
      </w:r>
    </w:p>
    <w:p w14:paraId="07E442AF" w14:textId="77777777" w:rsidR="000B12D9" w:rsidRDefault="000B12D9" w:rsidP="000B12D9">
      <w:pPr>
        <w:rPr>
          <w:rStyle w:val="Hyperlink"/>
          <w:sz w:val="20"/>
          <w:szCs w:val="20"/>
          <w:lang w:val="en-US"/>
        </w:rPr>
      </w:pPr>
      <w:r w:rsidRPr="00AB71C4">
        <w:rPr>
          <w:sz w:val="20"/>
          <w:szCs w:val="20"/>
          <w:lang w:val="en-US"/>
        </w:rPr>
        <w:t xml:space="preserve">Source: </w:t>
      </w:r>
      <w:hyperlink r:id="rId23" w:history="1">
        <w:r w:rsidRPr="00AB71C4">
          <w:rPr>
            <w:rStyle w:val="Hyperlink"/>
            <w:sz w:val="20"/>
            <w:szCs w:val="20"/>
            <w:lang w:val="en-US"/>
          </w:rPr>
          <w:t>https://www.thelancet.com/pb/assets/raw/Lancet/infographics/measles/image.pdf</w:t>
        </w:r>
      </w:hyperlink>
    </w:p>
    <w:p w14:paraId="242A89B3" w14:textId="03351A4E" w:rsidR="00C06452" w:rsidRDefault="00C06452" w:rsidP="000B12D9">
      <w:pPr>
        <w:rPr>
          <w:rStyle w:val="Hyperlink"/>
          <w:sz w:val="20"/>
          <w:szCs w:val="20"/>
          <w:lang w:val="en-US"/>
        </w:rPr>
      </w:pPr>
    </w:p>
    <w:p w14:paraId="08E66F45" w14:textId="77777777" w:rsidR="00445C25" w:rsidRDefault="00445C25">
      <w:pPr>
        <w:rPr>
          <w:rStyle w:val="Hyperlink"/>
          <w:rFonts w:asciiTheme="majorHAnsi" w:eastAsiaTheme="majorEastAsia" w:hAnsiTheme="majorHAnsi" w:cstheme="majorBidi"/>
          <w:b/>
          <w:bCs/>
          <w:color w:val="006152"/>
          <w:sz w:val="26"/>
          <w:szCs w:val="26"/>
          <w:lang w:val="en-US"/>
        </w:rPr>
      </w:pPr>
      <w:r>
        <w:rPr>
          <w:rStyle w:val="Hyperlink"/>
          <w:b/>
          <w:bCs/>
          <w:color w:val="006152"/>
          <w:lang w:val="en-US"/>
        </w:rPr>
        <w:br w:type="page"/>
      </w:r>
    </w:p>
    <w:p w14:paraId="5ADEF715" w14:textId="03D7CD2A" w:rsidR="000B12D9" w:rsidRPr="000B12D9" w:rsidRDefault="000B12D9" w:rsidP="000B12D9">
      <w:pPr>
        <w:pStyle w:val="Heading2"/>
        <w:rPr>
          <w:rStyle w:val="Hyperlink"/>
          <w:b/>
          <w:bCs/>
          <w:color w:val="006152"/>
          <w:lang w:val="en-US"/>
        </w:rPr>
      </w:pPr>
      <w:r w:rsidRPr="000B12D9">
        <w:rPr>
          <w:rStyle w:val="Hyperlink"/>
          <w:b/>
          <w:bCs/>
          <w:color w:val="006152"/>
          <w:lang w:val="en-US"/>
        </w:rPr>
        <w:lastRenderedPageBreak/>
        <w:t xml:space="preserve">IV. </w:t>
      </w:r>
      <w:r w:rsidRPr="000B12D9">
        <w:rPr>
          <w:b/>
          <w:bCs/>
          <w:color w:val="006152"/>
          <w:lang w:val="en-US"/>
        </w:rPr>
        <w:t>Summary table of samples/tests/and testing scheduling in NVRL (as of 09/02/2024)</w:t>
      </w:r>
    </w:p>
    <w:p w14:paraId="36B9D3B8" w14:textId="77777777" w:rsidR="000B12D9" w:rsidRPr="003F730E" w:rsidRDefault="000B12D9" w:rsidP="000B12D9">
      <w:pPr>
        <w:pStyle w:val="Caption"/>
        <w:rPr>
          <w:b/>
          <w:sz w:val="20"/>
          <w:szCs w:val="20"/>
          <w:lang w:val="en-US"/>
        </w:rPr>
      </w:pPr>
      <w:r>
        <w:t xml:space="preserve">Table </w:t>
      </w:r>
      <w:r w:rsidR="00C019EA">
        <w:fldChar w:fldCharType="begin"/>
      </w:r>
      <w:r w:rsidR="00C019EA">
        <w:instrText xml:space="preserve"> SEQ Table \* ARABIC </w:instrText>
      </w:r>
      <w:r w:rsidR="00C019EA">
        <w:fldChar w:fldCharType="separate"/>
      </w:r>
      <w:r>
        <w:rPr>
          <w:noProof/>
        </w:rPr>
        <w:t>1</w:t>
      </w:r>
      <w:r w:rsidR="00C019EA">
        <w:rPr>
          <w:noProof/>
        </w:rPr>
        <w:fldChar w:fldCharType="end"/>
      </w:r>
      <w:r>
        <w:rPr>
          <w:noProof/>
        </w:rPr>
        <w:t xml:space="preserve"> Summary of Sample type, test and availability</w:t>
      </w:r>
    </w:p>
    <w:tbl>
      <w:tblPr>
        <w:tblStyle w:val="TableGrid"/>
        <w:tblW w:w="9776" w:type="dxa"/>
        <w:tblLayout w:type="fixed"/>
        <w:tblLook w:val="04A0" w:firstRow="1" w:lastRow="0" w:firstColumn="1" w:lastColumn="0" w:noHBand="0" w:noVBand="1"/>
      </w:tblPr>
      <w:tblGrid>
        <w:gridCol w:w="1413"/>
        <w:gridCol w:w="1701"/>
        <w:gridCol w:w="660"/>
        <w:gridCol w:w="1891"/>
        <w:gridCol w:w="2127"/>
        <w:gridCol w:w="1984"/>
      </w:tblGrid>
      <w:tr w:rsidR="000B12D9" w14:paraId="6B5A247C" w14:textId="77777777" w:rsidTr="000B12D9">
        <w:trPr>
          <w:trHeight w:val="489"/>
        </w:trPr>
        <w:tc>
          <w:tcPr>
            <w:tcW w:w="1413" w:type="dxa"/>
          </w:tcPr>
          <w:p w14:paraId="11FC13B0" w14:textId="77777777" w:rsidR="000B12D9" w:rsidRPr="0032303D" w:rsidRDefault="000B12D9" w:rsidP="00622E0D">
            <w:pPr>
              <w:rPr>
                <w:b/>
                <w:sz w:val="28"/>
                <w:szCs w:val="28"/>
                <w:lang w:val="en-US"/>
              </w:rPr>
            </w:pPr>
            <w:r w:rsidRPr="0032303D">
              <w:rPr>
                <w:b/>
                <w:sz w:val="28"/>
                <w:szCs w:val="28"/>
                <w:lang w:val="en-US"/>
              </w:rPr>
              <w:t xml:space="preserve">Sample type </w:t>
            </w:r>
          </w:p>
        </w:tc>
        <w:tc>
          <w:tcPr>
            <w:tcW w:w="1701" w:type="dxa"/>
          </w:tcPr>
          <w:p w14:paraId="0E8BF240" w14:textId="77777777" w:rsidR="000B12D9" w:rsidRPr="0032303D" w:rsidRDefault="000B12D9" w:rsidP="00622E0D">
            <w:pPr>
              <w:jc w:val="center"/>
              <w:rPr>
                <w:b/>
                <w:sz w:val="28"/>
                <w:szCs w:val="28"/>
                <w:lang w:val="en-US"/>
              </w:rPr>
            </w:pPr>
            <w:r w:rsidRPr="0032303D">
              <w:rPr>
                <w:b/>
                <w:sz w:val="28"/>
                <w:szCs w:val="28"/>
                <w:lang w:val="en-US"/>
              </w:rPr>
              <w:t xml:space="preserve">IgM </w:t>
            </w:r>
          </w:p>
        </w:tc>
        <w:tc>
          <w:tcPr>
            <w:tcW w:w="660" w:type="dxa"/>
          </w:tcPr>
          <w:p w14:paraId="29D93447" w14:textId="77777777" w:rsidR="000B12D9" w:rsidRPr="0032303D" w:rsidRDefault="000B12D9" w:rsidP="00622E0D">
            <w:pPr>
              <w:jc w:val="center"/>
              <w:rPr>
                <w:b/>
                <w:sz w:val="28"/>
                <w:szCs w:val="28"/>
                <w:lang w:val="en-US"/>
              </w:rPr>
            </w:pPr>
            <w:r w:rsidRPr="0032303D">
              <w:rPr>
                <w:b/>
                <w:sz w:val="28"/>
                <w:szCs w:val="28"/>
                <w:lang w:val="en-US"/>
              </w:rPr>
              <w:t>IgG</w:t>
            </w:r>
          </w:p>
        </w:tc>
        <w:tc>
          <w:tcPr>
            <w:tcW w:w="1891" w:type="dxa"/>
          </w:tcPr>
          <w:p w14:paraId="0CB75606" w14:textId="39CC7204" w:rsidR="000B12D9" w:rsidRPr="0032303D" w:rsidRDefault="000B12D9" w:rsidP="00445C25">
            <w:pPr>
              <w:jc w:val="center"/>
              <w:rPr>
                <w:b/>
                <w:sz w:val="28"/>
                <w:szCs w:val="28"/>
                <w:lang w:val="en-US"/>
              </w:rPr>
            </w:pPr>
            <w:r w:rsidRPr="0032303D">
              <w:rPr>
                <w:b/>
                <w:sz w:val="28"/>
                <w:szCs w:val="28"/>
                <w:lang w:val="en-US"/>
              </w:rPr>
              <w:t>Measles RNA (PCR)</w:t>
            </w:r>
          </w:p>
        </w:tc>
        <w:tc>
          <w:tcPr>
            <w:tcW w:w="2127" w:type="dxa"/>
          </w:tcPr>
          <w:p w14:paraId="706BC991" w14:textId="77777777" w:rsidR="000B12D9" w:rsidRPr="0032303D" w:rsidRDefault="000B12D9" w:rsidP="00622E0D">
            <w:pPr>
              <w:jc w:val="center"/>
              <w:rPr>
                <w:b/>
                <w:sz w:val="28"/>
                <w:szCs w:val="28"/>
                <w:lang w:val="en-US"/>
              </w:rPr>
            </w:pPr>
            <w:r w:rsidRPr="0032303D">
              <w:rPr>
                <w:b/>
                <w:sz w:val="28"/>
                <w:szCs w:val="28"/>
                <w:lang w:val="en-US"/>
              </w:rPr>
              <w:t xml:space="preserve">Useful for </w:t>
            </w:r>
          </w:p>
        </w:tc>
        <w:tc>
          <w:tcPr>
            <w:tcW w:w="1984" w:type="dxa"/>
          </w:tcPr>
          <w:p w14:paraId="7220B203" w14:textId="77777777" w:rsidR="000B12D9" w:rsidRPr="0032303D" w:rsidRDefault="000B12D9" w:rsidP="00622E0D">
            <w:pPr>
              <w:jc w:val="center"/>
              <w:rPr>
                <w:b/>
                <w:sz w:val="28"/>
                <w:szCs w:val="28"/>
                <w:lang w:val="en-US"/>
              </w:rPr>
            </w:pPr>
            <w:r w:rsidRPr="0032303D">
              <w:rPr>
                <w:b/>
                <w:sz w:val="28"/>
                <w:szCs w:val="28"/>
                <w:lang w:val="en-US"/>
              </w:rPr>
              <w:t>NVRL testing available</w:t>
            </w:r>
          </w:p>
        </w:tc>
      </w:tr>
      <w:tr w:rsidR="000B12D9" w14:paraId="10AC1978" w14:textId="77777777" w:rsidTr="000B12D9">
        <w:trPr>
          <w:trHeight w:val="2170"/>
        </w:trPr>
        <w:tc>
          <w:tcPr>
            <w:tcW w:w="1413" w:type="dxa"/>
          </w:tcPr>
          <w:p w14:paraId="7C368B93" w14:textId="2088CC44" w:rsidR="000B12D9" w:rsidRPr="00967B68" w:rsidRDefault="000B12D9" w:rsidP="00622E0D">
            <w:pPr>
              <w:spacing w:line="276" w:lineRule="auto"/>
              <w:rPr>
                <w:lang w:val="en-US"/>
              </w:rPr>
            </w:pPr>
            <w:r w:rsidRPr="00967B68">
              <w:rPr>
                <w:lang w:val="en-US"/>
              </w:rPr>
              <w:t>Oral fluid (</w:t>
            </w:r>
            <w:proofErr w:type="spellStart"/>
            <w:r w:rsidRPr="00967B68">
              <w:rPr>
                <w:lang w:val="en-US"/>
              </w:rPr>
              <w:t>OraCol</w:t>
            </w:r>
            <w:proofErr w:type="spellEnd"/>
            <w:r w:rsidR="007874A6">
              <w:rPr>
                <w:lang w:val="en-US"/>
              </w:rPr>
              <w:t xml:space="preserve"> swab</w:t>
            </w:r>
            <w:r w:rsidRPr="00967B68">
              <w:rPr>
                <w:lang w:val="en-US"/>
              </w:rPr>
              <w:t>)</w:t>
            </w:r>
          </w:p>
        </w:tc>
        <w:tc>
          <w:tcPr>
            <w:tcW w:w="1701" w:type="dxa"/>
          </w:tcPr>
          <w:p w14:paraId="53958135" w14:textId="77777777" w:rsidR="000B12D9" w:rsidRDefault="000B12D9" w:rsidP="00622E0D">
            <w:pPr>
              <w:spacing w:line="276" w:lineRule="auto"/>
              <w:jc w:val="center"/>
              <w:rPr>
                <w:b/>
                <w:lang w:val="en-US"/>
              </w:rPr>
            </w:pPr>
          </w:p>
          <w:p w14:paraId="298AC35E" w14:textId="77777777" w:rsidR="000B12D9" w:rsidRPr="0032303D" w:rsidRDefault="000B12D9" w:rsidP="00622E0D">
            <w:pPr>
              <w:spacing w:line="276" w:lineRule="auto"/>
              <w:jc w:val="center"/>
              <w:rPr>
                <w:b/>
                <w:lang w:val="en-US"/>
              </w:rPr>
            </w:pPr>
            <w:r w:rsidRPr="0032303D">
              <w:rPr>
                <w:b/>
                <w:lang w:val="en-US"/>
              </w:rPr>
              <w:sym w:font="Wingdings" w:char="F0FC"/>
            </w:r>
            <w:r w:rsidRPr="0032303D">
              <w:rPr>
                <w:b/>
                <w:lang w:val="en-US"/>
              </w:rPr>
              <w:t xml:space="preserve"> </w:t>
            </w:r>
          </w:p>
          <w:p w14:paraId="4B75C351" w14:textId="77777777" w:rsidR="000B12D9" w:rsidRPr="0032303D" w:rsidRDefault="000B12D9" w:rsidP="00622E0D">
            <w:pPr>
              <w:spacing w:line="276" w:lineRule="auto"/>
              <w:jc w:val="center"/>
              <w:rPr>
                <w:b/>
                <w:lang w:val="en-US"/>
              </w:rPr>
            </w:pPr>
            <w:r w:rsidRPr="0032303D">
              <w:rPr>
                <w:lang w:val="en-US"/>
              </w:rPr>
              <w:t>(day of rash onset up to 4-5 weeks post rash onset)</w:t>
            </w:r>
          </w:p>
        </w:tc>
        <w:tc>
          <w:tcPr>
            <w:tcW w:w="660" w:type="dxa"/>
          </w:tcPr>
          <w:p w14:paraId="7FD2CFEA" w14:textId="77777777" w:rsidR="000B12D9" w:rsidRDefault="000B12D9" w:rsidP="00622E0D">
            <w:pPr>
              <w:spacing w:line="276" w:lineRule="auto"/>
              <w:jc w:val="center"/>
              <w:rPr>
                <w:b/>
                <w:lang w:val="en-US"/>
              </w:rPr>
            </w:pPr>
          </w:p>
          <w:p w14:paraId="557F4DE0" w14:textId="77777777" w:rsidR="000B12D9" w:rsidRPr="0032303D" w:rsidRDefault="000B12D9" w:rsidP="00622E0D">
            <w:pPr>
              <w:spacing w:line="276" w:lineRule="auto"/>
              <w:jc w:val="center"/>
              <w:rPr>
                <w:b/>
                <w:lang w:val="en-US"/>
              </w:rPr>
            </w:pPr>
            <w:r w:rsidRPr="0032303D">
              <w:rPr>
                <w:b/>
                <w:lang w:val="en-US"/>
              </w:rPr>
              <w:sym w:font="Wingdings" w:char="F0FB"/>
            </w:r>
          </w:p>
        </w:tc>
        <w:tc>
          <w:tcPr>
            <w:tcW w:w="1891" w:type="dxa"/>
          </w:tcPr>
          <w:p w14:paraId="0FDB6C9C" w14:textId="77777777" w:rsidR="000B12D9" w:rsidRDefault="000B12D9" w:rsidP="00622E0D">
            <w:pPr>
              <w:spacing w:line="276" w:lineRule="auto"/>
              <w:jc w:val="center"/>
              <w:rPr>
                <w:b/>
                <w:lang w:val="en-US"/>
              </w:rPr>
            </w:pPr>
          </w:p>
          <w:p w14:paraId="6FE2552A" w14:textId="77777777" w:rsidR="000B12D9" w:rsidRPr="0032303D" w:rsidRDefault="000B12D9" w:rsidP="00622E0D">
            <w:pPr>
              <w:spacing w:line="276" w:lineRule="auto"/>
              <w:jc w:val="center"/>
              <w:rPr>
                <w:b/>
                <w:lang w:val="en-US"/>
              </w:rPr>
            </w:pPr>
            <w:r w:rsidRPr="0032303D">
              <w:rPr>
                <w:b/>
                <w:lang w:val="en-US"/>
              </w:rPr>
              <w:sym w:font="Wingdings" w:char="F0FC"/>
            </w:r>
          </w:p>
          <w:p w14:paraId="58EA2ACF" w14:textId="77777777" w:rsidR="000B12D9" w:rsidRDefault="000B12D9" w:rsidP="00622E0D">
            <w:pPr>
              <w:spacing w:line="276" w:lineRule="auto"/>
              <w:jc w:val="center"/>
              <w:rPr>
                <w:lang w:val="en-US"/>
              </w:rPr>
            </w:pPr>
            <w:r w:rsidRPr="0032303D">
              <w:rPr>
                <w:lang w:val="en-US"/>
              </w:rPr>
              <w:t>(prodrome and up to 7 days post rash onset)</w:t>
            </w:r>
          </w:p>
          <w:p w14:paraId="2A793F76" w14:textId="77777777" w:rsidR="000B12D9" w:rsidRDefault="000B12D9" w:rsidP="00622E0D">
            <w:pPr>
              <w:spacing w:line="276" w:lineRule="auto"/>
              <w:rPr>
                <w:lang w:val="en-US"/>
              </w:rPr>
            </w:pPr>
          </w:p>
          <w:p w14:paraId="088459CD" w14:textId="77777777" w:rsidR="000B12D9" w:rsidRPr="0032303D" w:rsidRDefault="000B12D9" w:rsidP="00622E0D">
            <w:pPr>
              <w:spacing w:line="276" w:lineRule="auto"/>
              <w:rPr>
                <w:b/>
                <w:lang w:val="en-US"/>
              </w:rPr>
            </w:pPr>
          </w:p>
        </w:tc>
        <w:tc>
          <w:tcPr>
            <w:tcW w:w="2127" w:type="dxa"/>
          </w:tcPr>
          <w:p w14:paraId="5875CF55" w14:textId="77777777" w:rsidR="000B12D9" w:rsidRPr="0032303D" w:rsidRDefault="000B12D9" w:rsidP="000B12D9">
            <w:pPr>
              <w:pStyle w:val="ListParagraph"/>
              <w:numPr>
                <w:ilvl w:val="0"/>
                <w:numId w:val="2"/>
              </w:numPr>
              <w:spacing w:line="276" w:lineRule="auto"/>
              <w:ind w:right="-128"/>
              <w:rPr>
                <w:lang w:val="en-US"/>
              </w:rPr>
            </w:pPr>
            <w:r w:rsidRPr="0032303D">
              <w:rPr>
                <w:lang w:val="en-US"/>
              </w:rPr>
              <w:t>Early (pre-rash) measles infection</w:t>
            </w:r>
          </w:p>
          <w:p w14:paraId="3A9FE31F" w14:textId="77777777" w:rsidR="000B12D9" w:rsidRPr="0032303D" w:rsidRDefault="000B12D9" w:rsidP="000B12D9">
            <w:pPr>
              <w:pStyle w:val="ListParagraph"/>
              <w:numPr>
                <w:ilvl w:val="0"/>
                <w:numId w:val="2"/>
              </w:numPr>
              <w:spacing w:line="276" w:lineRule="auto"/>
              <w:ind w:right="-128"/>
              <w:rPr>
                <w:lang w:val="en-US"/>
              </w:rPr>
            </w:pPr>
            <w:r w:rsidRPr="0032303D">
              <w:rPr>
                <w:lang w:val="en-US"/>
              </w:rPr>
              <w:t xml:space="preserve">Acute measles infection </w:t>
            </w:r>
          </w:p>
          <w:p w14:paraId="22D8DDAD" w14:textId="6D36AD2D" w:rsidR="000B12D9" w:rsidRPr="00AC12A9" w:rsidRDefault="000B12D9" w:rsidP="000B12D9">
            <w:pPr>
              <w:pStyle w:val="ListParagraph"/>
              <w:numPr>
                <w:ilvl w:val="0"/>
                <w:numId w:val="2"/>
              </w:numPr>
              <w:spacing w:line="276" w:lineRule="auto"/>
              <w:ind w:right="-128"/>
              <w:rPr>
                <w:lang w:val="en-US"/>
              </w:rPr>
            </w:pPr>
            <w:proofErr w:type="spellStart"/>
            <w:r w:rsidRPr="00AC12A9">
              <w:rPr>
                <w:lang w:val="en-US"/>
              </w:rPr>
              <w:t>Outrule</w:t>
            </w:r>
            <w:proofErr w:type="spellEnd"/>
            <w:r w:rsidRPr="00AC12A9">
              <w:rPr>
                <w:lang w:val="en-US"/>
              </w:rPr>
              <w:t xml:space="preserve"> measles infection (discard possible cases</w:t>
            </w:r>
            <w:r w:rsidR="00384BC6">
              <w:rPr>
                <w:lang w:val="en-US"/>
              </w:rPr>
              <w:t xml:space="preserve"> based upon IgM result</w:t>
            </w:r>
            <w:r w:rsidRPr="00AC12A9">
              <w:rPr>
                <w:lang w:val="en-US"/>
              </w:rPr>
              <w:t>)</w:t>
            </w:r>
          </w:p>
          <w:p w14:paraId="74BCFF46" w14:textId="77777777" w:rsidR="000B12D9" w:rsidRDefault="000B12D9" w:rsidP="000B12D9">
            <w:pPr>
              <w:pStyle w:val="ListParagraph"/>
              <w:numPr>
                <w:ilvl w:val="0"/>
                <w:numId w:val="2"/>
              </w:numPr>
              <w:spacing w:line="276" w:lineRule="auto"/>
              <w:ind w:right="-128"/>
              <w:rPr>
                <w:lang w:val="en-US"/>
              </w:rPr>
            </w:pPr>
            <w:r w:rsidRPr="0032303D">
              <w:rPr>
                <w:lang w:val="en-US"/>
              </w:rPr>
              <w:t>Measles genotyping</w:t>
            </w:r>
          </w:p>
          <w:p w14:paraId="119A20EF" w14:textId="77777777" w:rsidR="000B12D9" w:rsidRPr="0032303D" w:rsidRDefault="000B12D9" w:rsidP="007874A6">
            <w:pPr>
              <w:pStyle w:val="ListParagraph"/>
              <w:spacing w:line="276" w:lineRule="auto"/>
              <w:ind w:left="360" w:right="-128"/>
              <w:rPr>
                <w:lang w:val="en-US"/>
              </w:rPr>
            </w:pPr>
          </w:p>
        </w:tc>
        <w:tc>
          <w:tcPr>
            <w:tcW w:w="1984" w:type="dxa"/>
          </w:tcPr>
          <w:p w14:paraId="60EE3814" w14:textId="72A2A75B" w:rsidR="000B12D9" w:rsidRPr="0032303D" w:rsidRDefault="000B12D9" w:rsidP="000B12D9">
            <w:pPr>
              <w:pStyle w:val="ListParagraph"/>
              <w:numPr>
                <w:ilvl w:val="0"/>
                <w:numId w:val="2"/>
              </w:numPr>
              <w:spacing w:line="276" w:lineRule="auto"/>
              <w:ind w:left="103" w:right="-128" w:hanging="142"/>
              <w:rPr>
                <w:lang w:val="en-US"/>
              </w:rPr>
            </w:pPr>
            <w:r w:rsidRPr="0032303D">
              <w:rPr>
                <w:lang w:val="en-US"/>
              </w:rPr>
              <w:t>Monday-</w:t>
            </w:r>
            <w:r w:rsidR="00302491">
              <w:rPr>
                <w:lang w:val="en-US"/>
              </w:rPr>
              <w:t>Saturday</w:t>
            </w:r>
            <w:r w:rsidR="00302491">
              <w:rPr>
                <w:rFonts w:cstheme="minorHAnsi"/>
                <w:lang w:val="en-US"/>
              </w:rPr>
              <w:t>ⱡ</w:t>
            </w:r>
            <w:r w:rsidR="00302491">
              <w:rPr>
                <w:lang w:val="en-US"/>
              </w:rPr>
              <w:t xml:space="preserve"> </w:t>
            </w:r>
            <w:r w:rsidRPr="0032303D">
              <w:rPr>
                <w:lang w:val="en-US"/>
              </w:rPr>
              <w:t xml:space="preserve"> </w:t>
            </w:r>
          </w:p>
          <w:p w14:paraId="2DEA4D81" w14:textId="77777777" w:rsidR="000B12D9" w:rsidRPr="0032303D" w:rsidRDefault="000B12D9" w:rsidP="000B12D9">
            <w:pPr>
              <w:pStyle w:val="ListParagraph"/>
              <w:numPr>
                <w:ilvl w:val="0"/>
                <w:numId w:val="2"/>
              </w:numPr>
              <w:spacing w:line="276" w:lineRule="auto"/>
              <w:ind w:left="103" w:right="-128" w:hanging="142"/>
              <w:rPr>
                <w:lang w:val="en-US"/>
              </w:rPr>
            </w:pPr>
            <w:r w:rsidRPr="0032303D">
              <w:rPr>
                <w:lang w:val="en-US"/>
              </w:rPr>
              <w:t>Same day result if sample received at NVRL pre-09:30h</w:t>
            </w:r>
            <w:r>
              <w:rPr>
                <w:lang w:val="en-US"/>
              </w:rPr>
              <w:t>*</w:t>
            </w:r>
          </w:p>
        </w:tc>
      </w:tr>
      <w:tr w:rsidR="000B12D9" w14:paraId="04CCF982" w14:textId="77777777" w:rsidTr="000B12D9">
        <w:trPr>
          <w:trHeight w:val="2720"/>
        </w:trPr>
        <w:tc>
          <w:tcPr>
            <w:tcW w:w="1413" w:type="dxa"/>
          </w:tcPr>
          <w:p w14:paraId="3559CEA3" w14:textId="77777777" w:rsidR="000B12D9" w:rsidRPr="00967B68" w:rsidRDefault="000B12D9" w:rsidP="00622E0D">
            <w:pPr>
              <w:spacing w:line="276" w:lineRule="auto"/>
              <w:rPr>
                <w:lang w:val="en-US"/>
              </w:rPr>
            </w:pPr>
            <w:r w:rsidRPr="00967B68">
              <w:rPr>
                <w:lang w:val="en-US"/>
              </w:rPr>
              <w:t xml:space="preserve">Serum sample </w:t>
            </w:r>
          </w:p>
        </w:tc>
        <w:tc>
          <w:tcPr>
            <w:tcW w:w="1701" w:type="dxa"/>
          </w:tcPr>
          <w:p w14:paraId="515905FA" w14:textId="77777777" w:rsidR="000B12D9" w:rsidRDefault="000B12D9" w:rsidP="00622E0D">
            <w:pPr>
              <w:spacing w:line="276" w:lineRule="auto"/>
              <w:jc w:val="center"/>
              <w:rPr>
                <w:b/>
                <w:lang w:val="en-US"/>
              </w:rPr>
            </w:pPr>
          </w:p>
          <w:p w14:paraId="5F471B97" w14:textId="77777777" w:rsidR="000B12D9" w:rsidRPr="0032303D" w:rsidRDefault="000B12D9" w:rsidP="00622E0D">
            <w:pPr>
              <w:spacing w:line="276" w:lineRule="auto"/>
              <w:jc w:val="center"/>
              <w:rPr>
                <w:b/>
                <w:lang w:val="en-US"/>
              </w:rPr>
            </w:pPr>
            <w:r w:rsidRPr="0032303D">
              <w:rPr>
                <w:b/>
                <w:lang w:val="en-US"/>
              </w:rPr>
              <w:sym w:font="Wingdings" w:char="F0FC"/>
            </w:r>
            <w:r w:rsidRPr="0032303D">
              <w:rPr>
                <w:b/>
                <w:lang w:val="en-US"/>
              </w:rPr>
              <w:t xml:space="preserve"> </w:t>
            </w:r>
          </w:p>
          <w:p w14:paraId="45FA4C8B" w14:textId="77777777" w:rsidR="000B12D9" w:rsidRPr="0032303D" w:rsidRDefault="000B12D9" w:rsidP="00622E0D">
            <w:pPr>
              <w:spacing w:line="276" w:lineRule="auto"/>
              <w:jc w:val="center"/>
              <w:rPr>
                <w:lang w:val="en-US"/>
              </w:rPr>
            </w:pPr>
            <w:r w:rsidRPr="0032303D">
              <w:rPr>
                <w:lang w:val="en-US"/>
              </w:rPr>
              <w:t>(4 days post rash onset)</w:t>
            </w:r>
          </w:p>
        </w:tc>
        <w:tc>
          <w:tcPr>
            <w:tcW w:w="660" w:type="dxa"/>
          </w:tcPr>
          <w:p w14:paraId="2E573E6C" w14:textId="77777777" w:rsidR="000B12D9" w:rsidRDefault="000B12D9" w:rsidP="00622E0D">
            <w:pPr>
              <w:spacing w:line="276" w:lineRule="auto"/>
              <w:jc w:val="center"/>
              <w:rPr>
                <w:b/>
                <w:lang w:val="en-US"/>
              </w:rPr>
            </w:pPr>
          </w:p>
          <w:p w14:paraId="64028B7A" w14:textId="77777777" w:rsidR="000B12D9" w:rsidRPr="0032303D" w:rsidRDefault="000B12D9" w:rsidP="00622E0D">
            <w:pPr>
              <w:spacing w:line="276" w:lineRule="auto"/>
              <w:jc w:val="center"/>
              <w:rPr>
                <w:b/>
                <w:lang w:val="en-US"/>
              </w:rPr>
            </w:pPr>
            <w:r w:rsidRPr="0032303D">
              <w:rPr>
                <w:b/>
                <w:lang w:val="en-US"/>
              </w:rPr>
              <w:sym w:font="Wingdings" w:char="F0FC"/>
            </w:r>
          </w:p>
        </w:tc>
        <w:tc>
          <w:tcPr>
            <w:tcW w:w="1891" w:type="dxa"/>
          </w:tcPr>
          <w:p w14:paraId="50ADA3C8" w14:textId="77777777" w:rsidR="000B12D9" w:rsidRDefault="000B12D9" w:rsidP="00622E0D">
            <w:pPr>
              <w:spacing w:line="276" w:lineRule="auto"/>
              <w:jc w:val="center"/>
              <w:rPr>
                <w:b/>
                <w:lang w:val="en-US"/>
              </w:rPr>
            </w:pPr>
          </w:p>
          <w:p w14:paraId="30710F0B" w14:textId="77777777" w:rsidR="000B12D9" w:rsidRPr="0032303D" w:rsidRDefault="000B12D9" w:rsidP="00622E0D">
            <w:pPr>
              <w:spacing w:line="276" w:lineRule="auto"/>
              <w:jc w:val="center"/>
              <w:rPr>
                <w:b/>
                <w:lang w:val="en-US"/>
              </w:rPr>
            </w:pPr>
            <w:r w:rsidRPr="0032303D">
              <w:rPr>
                <w:b/>
                <w:lang w:val="en-US"/>
              </w:rPr>
              <w:sym w:font="Wingdings" w:char="F0FB"/>
            </w:r>
          </w:p>
        </w:tc>
        <w:tc>
          <w:tcPr>
            <w:tcW w:w="2127" w:type="dxa"/>
          </w:tcPr>
          <w:p w14:paraId="7C5AD53C" w14:textId="77777777" w:rsidR="000B12D9" w:rsidRDefault="000B12D9" w:rsidP="000B12D9">
            <w:pPr>
              <w:pStyle w:val="ListParagraph"/>
              <w:numPr>
                <w:ilvl w:val="0"/>
                <w:numId w:val="3"/>
              </w:numPr>
              <w:spacing w:line="276" w:lineRule="auto"/>
              <w:rPr>
                <w:lang w:val="en-US"/>
              </w:rPr>
            </w:pPr>
            <w:r w:rsidRPr="0032303D">
              <w:rPr>
                <w:lang w:val="en-US"/>
              </w:rPr>
              <w:t>Acute measles infection</w:t>
            </w:r>
          </w:p>
          <w:p w14:paraId="43B3607F" w14:textId="77777777" w:rsidR="000B12D9" w:rsidRPr="0032303D" w:rsidRDefault="000B12D9" w:rsidP="000B12D9">
            <w:pPr>
              <w:pStyle w:val="ListParagraph"/>
              <w:numPr>
                <w:ilvl w:val="0"/>
                <w:numId w:val="3"/>
              </w:numPr>
              <w:spacing w:line="276" w:lineRule="auto"/>
              <w:ind w:right="-128"/>
              <w:rPr>
                <w:lang w:val="en-US"/>
              </w:rPr>
            </w:pPr>
            <w:proofErr w:type="spellStart"/>
            <w:r w:rsidRPr="0032303D">
              <w:rPr>
                <w:lang w:val="en-US"/>
              </w:rPr>
              <w:t>Outrule</w:t>
            </w:r>
            <w:proofErr w:type="spellEnd"/>
            <w:r w:rsidRPr="0032303D">
              <w:rPr>
                <w:lang w:val="en-US"/>
              </w:rPr>
              <w:t xml:space="preserve"> measles infection (discard possible cases)</w:t>
            </w:r>
          </w:p>
          <w:p w14:paraId="5389D229" w14:textId="77777777" w:rsidR="000B12D9" w:rsidRPr="0032303D" w:rsidRDefault="000B12D9" w:rsidP="000B12D9">
            <w:pPr>
              <w:pStyle w:val="ListParagraph"/>
              <w:numPr>
                <w:ilvl w:val="0"/>
                <w:numId w:val="3"/>
              </w:numPr>
              <w:spacing w:line="276" w:lineRule="auto"/>
              <w:rPr>
                <w:lang w:val="en-US"/>
              </w:rPr>
            </w:pPr>
            <w:r w:rsidRPr="0032303D">
              <w:rPr>
                <w:lang w:val="en-US"/>
              </w:rPr>
              <w:t xml:space="preserve">Immune status </w:t>
            </w:r>
          </w:p>
          <w:p w14:paraId="6950498E" w14:textId="77777777" w:rsidR="000B12D9" w:rsidRPr="0032303D" w:rsidRDefault="000B12D9" w:rsidP="000B12D9">
            <w:pPr>
              <w:pStyle w:val="ListParagraph"/>
              <w:numPr>
                <w:ilvl w:val="0"/>
                <w:numId w:val="3"/>
              </w:numPr>
              <w:spacing w:line="276" w:lineRule="auto"/>
              <w:rPr>
                <w:lang w:val="en-US"/>
              </w:rPr>
            </w:pPr>
            <w:r w:rsidRPr="0032303D">
              <w:rPr>
                <w:lang w:val="en-US"/>
              </w:rPr>
              <w:t xml:space="preserve">Primary infection vs breakthrough infection </w:t>
            </w:r>
          </w:p>
        </w:tc>
        <w:tc>
          <w:tcPr>
            <w:tcW w:w="1984" w:type="dxa"/>
          </w:tcPr>
          <w:p w14:paraId="4822C48C" w14:textId="77777777" w:rsidR="000B12D9" w:rsidRDefault="000B12D9" w:rsidP="000B12D9">
            <w:pPr>
              <w:pStyle w:val="ListParagraph"/>
              <w:numPr>
                <w:ilvl w:val="0"/>
                <w:numId w:val="3"/>
              </w:numPr>
              <w:spacing w:line="276" w:lineRule="auto"/>
              <w:ind w:left="103" w:hanging="142"/>
              <w:rPr>
                <w:lang w:val="en-US"/>
              </w:rPr>
            </w:pPr>
            <w:r w:rsidRPr="0032303D">
              <w:rPr>
                <w:lang w:val="en-US"/>
              </w:rPr>
              <w:t xml:space="preserve">Daily </w:t>
            </w:r>
          </w:p>
          <w:p w14:paraId="78DB0147" w14:textId="77777777" w:rsidR="000B12D9" w:rsidRPr="0032303D" w:rsidRDefault="000B12D9" w:rsidP="000B12D9">
            <w:pPr>
              <w:pStyle w:val="ListParagraph"/>
              <w:numPr>
                <w:ilvl w:val="0"/>
                <w:numId w:val="3"/>
              </w:numPr>
              <w:spacing w:line="276" w:lineRule="auto"/>
              <w:rPr>
                <w:lang w:val="en-US"/>
              </w:rPr>
            </w:pPr>
            <w:r>
              <w:rPr>
                <w:lang w:val="en-US"/>
              </w:rPr>
              <w:t xml:space="preserve">Saturday and Sunday by triggering the out of hours service – see </w:t>
            </w:r>
            <w:r w:rsidRPr="00225753">
              <w:rPr>
                <w:lang w:val="en-US"/>
              </w:rPr>
              <w:t>https://nvrl.ucd.ie/</w:t>
            </w:r>
          </w:p>
        </w:tc>
      </w:tr>
      <w:tr w:rsidR="000B12D9" w14:paraId="5EBE553B" w14:textId="77777777" w:rsidTr="000B12D9">
        <w:trPr>
          <w:trHeight w:val="947"/>
        </w:trPr>
        <w:tc>
          <w:tcPr>
            <w:tcW w:w="1413" w:type="dxa"/>
          </w:tcPr>
          <w:p w14:paraId="468C9551" w14:textId="77777777" w:rsidR="000B12D9" w:rsidRPr="00967B68" w:rsidRDefault="000B12D9" w:rsidP="00622E0D">
            <w:pPr>
              <w:spacing w:line="276" w:lineRule="auto"/>
              <w:rPr>
                <w:lang w:val="en-US"/>
              </w:rPr>
            </w:pPr>
            <w:r w:rsidRPr="00967B68">
              <w:rPr>
                <w:lang w:val="en-US"/>
              </w:rPr>
              <w:t>Throat/ mouth swab</w:t>
            </w:r>
            <w:r>
              <w:rPr>
                <w:lang w:val="en-US"/>
              </w:rPr>
              <w:t xml:space="preserve"> (VTM or UTM)</w:t>
            </w:r>
          </w:p>
        </w:tc>
        <w:tc>
          <w:tcPr>
            <w:tcW w:w="1701" w:type="dxa"/>
          </w:tcPr>
          <w:p w14:paraId="1A491AE5" w14:textId="77777777" w:rsidR="000B12D9" w:rsidRDefault="000B12D9" w:rsidP="00622E0D">
            <w:pPr>
              <w:spacing w:line="276" w:lineRule="auto"/>
              <w:jc w:val="center"/>
              <w:rPr>
                <w:b/>
                <w:lang w:val="en-US"/>
              </w:rPr>
            </w:pPr>
          </w:p>
          <w:p w14:paraId="01998E33" w14:textId="77777777" w:rsidR="000B12D9" w:rsidRPr="0032303D" w:rsidRDefault="000B12D9" w:rsidP="00622E0D">
            <w:pPr>
              <w:spacing w:line="276" w:lineRule="auto"/>
              <w:jc w:val="center"/>
              <w:rPr>
                <w:b/>
                <w:lang w:val="en-US"/>
              </w:rPr>
            </w:pPr>
            <w:r w:rsidRPr="0032303D">
              <w:rPr>
                <w:b/>
                <w:lang w:val="en-US"/>
              </w:rPr>
              <w:sym w:font="Wingdings" w:char="F0FB"/>
            </w:r>
          </w:p>
        </w:tc>
        <w:tc>
          <w:tcPr>
            <w:tcW w:w="660" w:type="dxa"/>
          </w:tcPr>
          <w:p w14:paraId="7AF0E72E" w14:textId="77777777" w:rsidR="000B12D9" w:rsidRDefault="000B12D9" w:rsidP="00622E0D">
            <w:pPr>
              <w:spacing w:line="276" w:lineRule="auto"/>
              <w:jc w:val="center"/>
              <w:rPr>
                <w:b/>
                <w:lang w:val="en-US"/>
              </w:rPr>
            </w:pPr>
          </w:p>
          <w:p w14:paraId="06E1D9CF" w14:textId="77777777" w:rsidR="000B12D9" w:rsidRPr="0032303D" w:rsidRDefault="000B12D9" w:rsidP="00622E0D">
            <w:pPr>
              <w:spacing w:line="276" w:lineRule="auto"/>
              <w:jc w:val="center"/>
              <w:rPr>
                <w:b/>
                <w:lang w:val="en-US"/>
              </w:rPr>
            </w:pPr>
            <w:r w:rsidRPr="0032303D">
              <w:rPr>
                <w:b/>
                <w:lang w:val="en-US"/>
              </w:rPr>
              <w:sym w:font="Wingdings" w:char="F0FB"/>
            </w:r>
          </w:p>
        </w:tc>
        <w:tc>
          <w:tcPr>
            <w:tcW w:w="1891" w:type="dxa"/>
          </w:tcPr>
          <w:p w14:paraId="216D903A" w14:textId="77777777" w:rsidR="000B12D9" w:rsidRDefault="000B12D9" w:rsidP="00622E0D">
            <w:pPr>
              <w:spacing w:line="276" w:lineRule="auto"/>
              <w:jc w:val="center"/>
              <w:rPr>
                <w:b/>
                <w:lang w:val="en-US"/>
              </w:rPr>
            </w:pPr>
          </w:p>
          <w:p w14:paraId="0342B320" w14:textId="77777777" w:rsidR="000B12D9" w:rsidRPr="0032303D" w:rsidRDefault="000B12D9" w:rsidP="00622E0D">
            <w:pPr>
              <w:spacing w:line="276" w:lineRule="auto"/>
              <w:jc w:val="center"/>
              <w:rPr>
                <w:b/>
                <w:lang w:val="en-US"/>
              </w:rPr>
            </w:pPr>
            <w:r w:rsidRPr="0032303D">
              <w:rPr>
                <w:b/>
                <w:lang w:val="en-US"/>
              </w:rPr>
              <w:sym w:font="Wingdings" w:char="F0FC"/>
            </w:r>
          </w:p>
          <w:p w14:paraId="30DE92FD" w14:textId="77777777" w:rsidR="000B12D9" w:rsidRPr="0032303D" w:rsidRDefault="000B12D9" w:rsidP="00622E0D">
            <w:pPr>
              <w:spacing w:line="276" w:lineRule="auto"/>
              <w:jc w:val="center"/>
              <w:rPr>
                <w:lang w:val="en-US"/>
              </w:rPr>
            </w:pPr>
            <w:r w:rsidRPr="0032303D">
              <w:rPr>
                <w:lang w:val="en-US"/>
              </w:rPr>
              <w:t>(within 6 days of rash onset)</w:t>
            </w:r>
          </w:p>
        </w:tc>
        <w:tc>
          <w:tcPr>
            <w:tcW w:w="2127" w:type="dxa"/>
          </w:tcPr>
          <w:p w14:paraId="65B9CEE0" w14:textId="77777777" w:rsidR="000B12D9" w:rsidRPr="0032303D" w:rsidRDefault="000B12D9" w:rsidP="000B12D9">
            <w:pPr>
              <w:pStyle w:val="ListParagraph"/>
              <w:numPr>
                <w:ilvl w:val="0"/>
                <w:numId w:val="3"/>
              </w:numPr>
              <w:spacing w:line="276" w:lineRule="auto"/>
              <w:ind w:left="103" w:hanging="142"/>
              <w:rPr>
                <w:lang w:val="en-US"/>
              </w:rPr>
            </w:pPr>
            <w:r w:rsidRPr="0032303D">
              <w:rPr>
                <w:lang w:val="en-US"/>
              </w:rPr>
              <w:t xml:space="preserve">Acute measles infection </w:t>
            </w:r>
          </w:p>
          <w:p w14:paraId="2442457D" w14:textId="77777777" w:rsidR="000B12D9" w:rsidRPr="0032303D" w:rsidRDefault="000B12D9" w:rsidP="000B12D9">
            <w:pPr>
              <w:pStyle w:val="ListParagraph"/>
              <w:numPr>
                <w:ilvl w:val="0"/>
                <w:numId w:val="3"/>
              </w:numPr>
              <w:spacing w:line="276" w:lineRule="auto"/>
              <w:ind w:left="103" w:hanging="142"/>
              <w:rPr>
                <w:lang w:val="en-US"/>
              </w:rPr>
            </w:pPr>
            <w:r w:rsidRPr="0032303D">
              <w:rPr>
                <w:lang w:val="en-US"/>
              </w:rPr>
              <w:t xml:space="preserve">Measles genotyping </w:t>
            </w:r>
          </w:p>
        </w:tc>
        <w:tc>
          <w:tcPr>
            <w:tcW w:w="1984" w:type="dxa"/>
          </w:tcPr>
          <w:p w14:paraId="1D708548" w14:textId="77777777" w:rsidR="000B12D9" w:rsidRPr="0032303D" w:rsidRDefault="000B12D9" w:rsidP="000B12D9">
            <w:pPr>
              <w:pStyle w:val="ListParagraph"/>
              <w:numPr>
                <w:ilvl w:val="0"/>
                <w:numId w:val="3"/>
              </w:numPr>
              <w:spacing w:line="276" w:lineRule="auto"/>
              <w:ind w:left="103" w:hanging="142"/>
              <w:rPr>
                <w:lang w:val="en-US"/>
              </w:rPr>
            </w:pPr>
            <w:r w:rsidRPr="0032303D">
              <w:rPr>
                <w:lang w:val="en-US"/>
              </w:rPr>
              <w:t xml:space="preserve">Monday-Friday </w:t>
            </w:r>
          </w:p>
          <w:p w14:paraId="00B5EFD4" w14:textId="77777777" w:rsidR="000B12D9" w:rsidRPr="0032303D" w:rsidRDefault="000B12D9" w:rsidP="000B12D9">
            <w:pPr>
              <w:pStyle w:val="ListParagraph"/>
              <w:numPr>
                <w:ilvl w:val="0"/>
                <w:numId w:val="3"/>
              </w:numPr>
              <w:spacing w:line="276" w:lineRule="auto"/>
              <w:ind w:left="103" w:right="-37" w:hanging="142"/>
              <w:rPr>
                <w:lang w:val="en-US"/>
              </w:rPr>
            </w:pPr>
            <w:r w:rsidRPr="0032303D">
              <w:rPr>
                <w:lang w:val="en-US"/>
              </w:rPr>
              <w:t>Same day result if sample received at NVRL pre-09:30h</w:t>
            </w:r>
            <w:r>
              <w:rPr>
                <w:lang w:val="en-US"/>
              </w:rPr>
              <w:t>*</w:t>
            </w:r>
          </w:p>
        </w:tc>
      </w:tr>
      <w:tr w:rsidR="000B12D9" w14:paraId="2A31ABA3" w14:textId="77777777" w:rsidTr="000B12D9">
        <w:trPr>
          <w:trHeight w:val="396"/>
        </w:trPr>
        <w:tc>
          <w:tcPr>
            <w:tcW w:w="1413" w:type="dxa"/>
          </w:tcPr>
          <w:p w14:paraId="46D8A1A2" w14:textId="77777777" w:rsidR="000B12D9" w:rsidRPr="00967B68" w:rsidRDefault="000B12D9" w:rsidP="00622E0D">
            <w:pPr>
              <w:rPr>
                <w:lang w:val="en-US"/>
              </w:rPr>
            </w:pPr>
            <w:r>
              <w:rPr>
                <w:lang w:val="en-US"/>
              </w:rPr>
              <w:t>EDTA blood</w:t>
            </w:r>
          </w:p>
        </w:tc>
        <w:tc>
          <w:tcPr>
            <w:tcW w:w="8363" w:type="dxa"/>
            <w:gridSpan w:val="5"/>
          </w:tcPr>
          <w:p w14:paraId="7FBDAA0D" w14:textId="77777777" w:rsidR="000B12D9" w:rsidRPr="00414661" w:rsidRDefault="000B12D9" w:rsidP="00622E0D">
            <w:pPr>
              <w:jc w:val="center"/>
              <w:rPr>
                <w:lang w:val="en-US"/>
              </w:rPr>
            </w:pPr>
            <w:r w:rsidRPr="00414661">
              <w:rPr>
                <w:lang w:val="en-US"/>
              </w:rPr>
              <w:t xml:space="preserve">Not recommended </w:t>
            </w:r>
          </w:p>
        </w:tc>
      </w:tr>
      <w:tr w:rsidR="000B12D9" w14:paraId="0F257CFB" w14:textId="77777777" w:rsidTr="000B12D9">
        <w:trPr>
          <w:trHeight w:val="396"/>
        </w:trPr>
        <w:tc>
          <w:tcPr>
            <w:tcW w:w="1413" w:type="dxa"/>
          </w:tcPr>
          <w:p w14:paraId="4E9249E1" w14:textId="77777777" w:rsidR="000B12D9" w:rsidRPr="00967B68" w:rsidRDefault="000B12D9" w:rsidP="00622E0D">
            <w:pPr>
              <w:rPr>
                <w:lang w:val="en-US"/>
              </w:rPr>
            </w:pPr>
            <w:r>
              <w:rPr>
                <w:lang w:val="en-US"/>
              </w:rPr>
              <w:t xml:space="preserve">Urine </w:t>
            </w:r>
          </w:p>
        </w:tc>
        <w:tc>
          <w:tcPr>
            <w:tcW w:w="8363" w:type="dxa"/>
            <w:gridSpan w:val="5"/>
          </w:tcPr>
          <w:p w14:paraId="5D292962" w14:textId="77777777" w:rsidR="000B12D9" w:rsidRPr="00414661" w:rsidRDefault="000B12D9" w:rsidP="00622E0D">
            <w:pPr>
              <w:jc w:val="center"/>
              <w:rPr>
                <w:lang w:val="en-US"/>
              </w:rPr>
            </w:pPr>
            <w:r w:rsidRPr="00414661">
              <w:rPr>
                <w:lang w:val="en-US"/>
              </w:rPr>
              <w:t>Not recommended</w:t>
            </w:r>
          </w:p>
        </w:tc>
      </w:tr>
    </w:tbl>
    <w:p w14:paraId="2C385DA3" w14:textId="77777777" w:rsidR="000B12D9" w:rsidRDefault="000B12D9" w:rsidP="000B12D9">
      <w:pPr>
        <w:rPr>
          <w:b/>
          <w:sz w:val="20"/>
          <w:szCs w:val="20"/>
          <w:lang w:val="en-US"/>
        </w:rPr>
      </w:pPr>
    </w:p>
    <w:p w14:paraId="096CEF64" w14:textId="47527F5F" w:rsidR="000B12D9" w:rsidRDefault="000B12D9" w:rsidP="000B12D9">
      <w:pPr>
        <w:rPr>
          <w:b/>
          <w:sz w:val="20"/>
          <w:szCs w:val="20"/>
          <w:lang w:val="en-US"/>
        </w:rPr>
      </w:pPr>
      <w:r>
        <w:rPr>
          <w:b/>
          <w:sz w:val="20"/>
          <w:szCs w:val="20"/>
          <w:lang w:val="en-US"/>
        </w:rPr>
        <w:t>*; I the sample requires to be retested the result will be available the next day</w:t>
      </w:r>
    </w:p>
    <w:p w14:paraId="42ED3288" w14:textId="4D5D9DD6" w:rsidR="00302491" w:rsidRDefault="00302491" w:rsidP="000B12D9">
      <w:pPr>
        <w:rPr>
          <w:b/>
          <w:sz w:val="20"/>
          <w:szCs w:val="20"/>
          <w:lang w:val="en-US"/>
        </w:rPr>
      </w:pPr>
      <w:r>
        <w:rPr>
          <w:rFonts w:cstheme="minorHAnsi"/>
          <w:lang w:val="en-US"/>
        </w:rPr>
        <w:t xml:space="preserve">ⱡ </w:t>
      </w:r>
      <w:r w:rsidRPr="005C0B75">
        <w:rPr>
          <w:rFonts w:cstheme="minorHAnsi"/>
          <w:b/>
          <w:sz w:val="20"/>
          <w:szCs w:val="20"/>
          <w:lang w:val="en-US"/>
        </w:rPr>
        <w:t>as of 2</w:t>
      </w:r>
      <w:r w:rsidR="00445C25">
        <w:rPr>
          <w:rFonts w:cstheme="minorHAnsi"/>
          <w:b/>
          <w:sz w:val="20"/>
          <w:szCs w:val="20"/>
          <w:lang w:val="en-US"/>
        </w:rPr>
        <w:t>4</w:t>
      </w:r>
      <w:r w:rsidRPr="005C0B75">
        <w:rPr>
          <w:rFonts w:cstheme="minorHAnsi"/>
          <w:b/>
          <w:sz w:val="20"/>
          <w:szCs w:val="20"/>
          <w:vertAlign w:val="superscript"/>
          <w:lang w:val="en-US"/>
        </w:rPr>
        <w:t>th</w:t>
      </w:r>
      <w:r w:rsidRPr="005C0B75">
        <w:rPr>
          <w:rFonts w:cstheme="minorHAnsi"/>
          <w:b/>
          <w:sz w:val="20"/>
          <w:szCs w:val="20"/>
          <w:lang w:val="en-US"/>
        </w:rPr>
        <w:t xml:space="preserve"> Feb</w:t>
      </w:r>
      <w:r>
        <w:rPr>
          <w:rFonts w:cstheme="minorHAnsi"/>
          <w:b/>
          <w:sz w:val="20"/>
          <w:szCs w:val="20"/>
          <w:lang w:val="en-US"/>
        </w:rPr>
        <w:t>r</w:t>
      </w:r>
      <w:r w:rsidRPr="005C0B75">
        <w:rPr>
          <w:rFonts w:cstheme="minorHAnsi"/>
          <w:b/>
          <w:sz w:val="20"/>
          <w:szCs w:val="20"/>
          <w:lang w:val="en-US"/>
        </w:rPr>
        <w:t>uary 2024 and based on assessment of need</w:t>
      </w:r>
    </w:p>
    <w:p w14:paraId="33287325" w14:textId="77777777" w:rsidR="000B12D9" w:rsidRPr="003A2962" w:rsidRDefault="000B12D9" w:rsidP="000B12D9">
      <w:pPr>
        <w:spacing w:after="0"/>
        <w:rPr>
          <w:b/>
          <w:sz w:val="20"/>
          <w:szCs w:val="20"/>
          <w:lang w:val="en-US"/>
        </w:rPr>
      </w:pPr>
    </w:p>
    <w:p w14:paraId="624D8C6A" w14:textId="77777777" w:rsidR="009335DA" w:rsidRDefault="009335DA"/>
    <w:p w14:paraId="54109C64" w14:textId="77777777" w:rsidR="007A7F18" w:rsidRDefault="007A7F18"/>
    <w:p w14:paraId="1C4C9906" w14:textId="77777777" w:rsidR="007A7F18" w:rsidRDefault="007A7F18" w:rsidP="007A7F18"/>
    <w:sectPr w:rsidR="007A7F18">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5119" w14:textId="77777777" w:rsidR="00A02529" w:rsidRDefault="00A02529" w:rsidP="00673269">
      <w:pPr>
        <w:spacing w:after="0" w:line="240" w:lineRule="auto"/>
      </w:pPr>
      <w:r>
        <w:separator/>
      </w:r>
    </w:p>
  </w:endnote>
  <w:endnote w:type="continuationSeparator" w:id="0">
    <w:p w14:paraId="157A0289" w14:textId="77777777" w:rsidR="00A02529" w:rsidRDefault="00A02529" w:rsidP="0067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CA39" w14:textId="18F5D0DB" w:rsidR="00A47425" w:rsidRDefault="00A47425">
    <w:pPr>
      <w:pStyle w:val="Footer"/>
    </w:pPr>
    <w:r w:rsidRPr="00876C14">
      <w:rPr>
        <w:noProof/>
        <w:color w:val="006152"/>
        <w:lang w:eastAsia="en-IE"/>
      </w:rPr>
      <w:drawing>
        <wp:anchor distT="0" distB="0" distL="114300" distR="114300" simplePos="0" relativeHeight="251658240" behindDoc="0" locked="0" layoutInCell="1" allowOverlap="1" wp14:anchorId="302560EE" wp14:editId="66CC2187">
          <wp:simplePos x="0" y="0"/>
          <wp:positionH relativeFrom="margin">
            <wp:posOffset>4890053</wp:posOffset>
          </wp:positionH>
          <wp:positionV relativeFrom="page">
            <wp:posOffset>9970576</wp:posOffset>
          </wp:positionV>
          <wp:extent cx="4524292" cy="4609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292" cy="46099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FDFD" w14:textId="77777777" w:rsidR="00A02529" w:rsidRDefault="00A02529" w:rsidP="00673269">
      <w:pPr>
        <w:spacing w:after="0" w:line="240" w:lineRule="auto"/>
      </w:pPr>
      <w:r>
        <w:separator/>
      </w:r>
    </w:p>
  </w:footnote>
  <w:footnote w:type="continuationSeparator" w:id="0">
    <w:p w14:paraId="40DBA8A2" w14:textId="77777777" w:rsidR="00A02529" w:rsidRDefault="00A02529" w:rsidP="00673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08AB" w14:textId="78CE89E0" w:rsidR="009D5507" w:rsidRDefault="009D5507" w:rsidP="009D5507">
    <w:pPr>
      <w:pStyle w:val="Heading1"/>
    </w:pPr>
    <w:r>
      <w:rPr>
        <w:noProof/>
        <w:lang w:eastAsia="en-IE"/>
      </w:rPr>
      <mc:AlternateContent>
        <mc:Choice Requires="wps">
          <w:drawing>
            <wp:anchor distT="45720" distB="45720" distL="114300" distR="114300" simplePos="0" relativeHeight="251657216" behindDoc="0" locked="0" layoutInCell="1" allowOverlap="1" wp14:anchorId="121B067B" wp14:editId="31D456E7">
              <wp:simplePos x="0" y="0"/>
              <wp:positionH relativeFrom="margin">
                <wp:posOffset>163830</wp:posOffset>
              </wp:positionH>
              <wp:positionV relativeFrom="paragraph">
                <wp:posOffset>-163195</wp:posOffset>
              </wp:positionV>
              <wp:extent cx="3457575" cy="56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61975"/>
                      </a:xfrm>
                      <a:prstGeom prst="rect">
                        <a:avLst/>
                      </a:prstGeom>
                      <a:solidFill>
                        <a:srgbClr val="FFFFFF"/>
                      </a:solidFill>
                      <a:ln w="9525">
                        <a:noFill/>
                        <a:miter lim="800000"/>
                        <a:headEnd/>
                        <a:tailEnd/>
                      </a:ln>
                    </wps:spPr>
                    <wps:txbx>
                      <w:txbxContent>
                        <w:p w14:paraId="33068985" w14:textId="777F0A7F" w:rsidR="00623959" w:rsidRPr="009B7621" w:rsidRDefault="00623959" w:rsidP="00623959">
                          <w:pPr>
                            <w:spacing w:after="0" w:line="240" w:lineRule="auto"/>
                            <w:rPr>
                              <w:rFonts w:cstheme="minorHAnsi"/>
                              <w:b/>
                              <w:color w:val="006152"/>
                              <w:szCs w:val="28"/>
                            </w:rPr>
                          </w:pPr>
                          <w:bookmarkStart w:id="1" w:name="_Hlk137738825"/>
                          <w:r w:rsidRPr="009B7621">
                            <w:rPr>
                              <w:rFonts w:cstheme="minorHAnsi"/>
                              <w:b/>
                              <w:color w:val="006152"/>
                              <w:szCs w:val="28"/>
                            </w:rPr>
                            <w:t>HSE Public Health: Health Protection</w:t>
                          </w:r>
                        </w:p>
                        <w:p w14:paraId="1CD68750" w14:textId="77777777" w:rsidR="00623959" w:rsidRPr="00623959" w:rsidRDefault="00623959" w:rsidP="00623959">
                          <w:pPr>
                            <w:rPr>
                              <w:rFonts w:cstheme="minorHAnsi"/>
                              <w:b/>
                              <w:color w:val="006152"/>
                              <w:szCs w:val="28"/>
                            </w:rPr>
                          </w:pPr>
                          <w:r w:rsidRPr="00623959">
                            <w:rPr>
                              <w:rFonts w:cstheme="minorHAnsi"/>
                              <w:i/>
                              <w:color w:val="006152"/>
                              <w:szCs w:val="28"/>
                            </w:rPr>
                            <w:t xml:space="preserve">FSS </w:t>
                          </w:r>
                          <w:proofErr w:type="spellStart"/>
                          <w:r w:rsidRPr="00623959">
                            <w:rPr>
                              <w:rFonts w:cstheme="minorHAnsi"/>
                              <w:i/>
                              <w:color w:val="006152"/>
                              <w:szCs w:val="28"/>
                            </w:rPr>
                            <w:t>Sláinte</w:t>
                          </w:r>
                          <w:proofErr w:type="spellEnd"/>
                          <w:r w:rsidRPr="00623959">
                            <w:rPr>
                              <w:rFonts w:cstheme="minorHAnsi"/>
                              <w:i/>
                              <w:color w:val="006152"/>
                              <w:szCs w:val="28"/>
                            </w:rPr>
                            <w:t xml:space="preserve"> </w:t>
                          </w:r>
                          <w:proofErr w:type="spellStart"/>
                          <w:r w:rsidRPr="00623959">
                            <w:rPr>
                              <w:rFonts w:cstheme="minorHAnsi"/>
                              <w:i/>
                              <w:color w:val="006152"/>
                              <w:szCs w:val="28"/>
                            </w:rPr>
                            <w:t>Poiblí</w:t>
                          </w:r>
                          <w:proofErr w:type="spellEnd"/>
                          <w:r w:rsidRPr="00623959">
                            <w:rPr>
                              <w:rFonts w:cstheme="minorHAnsi"/>
                              <w:i/>
                              <w:color w:val="006152"/>
                              <w:szCs w:val="28"/>
                            </w:rPr>
                            <w:t xml:space="preserve">: </w:t>
                          </w:r>
                          <w:proofErr w:type="spellStart"/>
                          <w:r w:rsidRPr="00623959">
                            <w:rPr>
                              <w:rFonts w:cstheme="minorHAnsi"/>
                              <w:i/>
                              <w:color w:val="006152"/>
                              <w:szCs w:val="28"/>
                            </w:rPr>
                            <w:t>Chosaint</w:t>
                          </w:r>
                          <w:proofErr w:type="spellEnd"/>
                          <w:r w:rsidRPr="00623959">
                            <w:rPr>
                              <w:rFonts w:cstheme="minorHAnsi"/>
                              <w:i/>
                              <w:color w:val="006152"/>
                              <w:szCs w:val="28"/>
                            </w:rPr>
                            <w:t xml:space="preserve"> </w:t>
                          </w:r>
                          <w:proofErr w:type="spellStart"/>
                          <w:r w:rsidRPr="00623959">
                            <w:rPr>
                              <w:rFonts w:cstheme="minorHAnsi"/>
                              <w:i/>
                              <w:color w:val="006152"/>
                              <w:szCs w:val="28"/>
                            </w:rPr>
                            <w:t>Sláinte</w:t>
                          </w:r>
                          <w:proofErr w:type="spellEnd"/>
                        </w:p>
                        <w:p w14:paraId="4299CC8B" w14:textId="6D11D34A" w:rsidR="009D5507" w:rsidRDefault="009D5507" w:rsidP="00623959">
                          <w:pPr>
                            <w:spacing w:after="0" w:line="240" w:lineRule="auto"/>
                            <w:rPr>
                              <w:b/>
                              <w:color w:val="006152"/>
                              <w:szCs w:val="28"/>
                            </w:rPr>
                          </w:pPr>
                        </w:p>
                        <w:bookmarkEnd w:id="1"/>
                        <w:p w14:paraId="2148BA27" w14:textId="77777777" w:rsidR="009D5507" w:rsidRPr="002D1C3F" w:rsidRDefault="009D5507" w:rsidP="009D550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21B067B" id="_x0000_t202" coordsize="21600,21600" o:spt="202" path="m,l,21600r21600,l21600,xe">
              <v:stroke joinstyle="miter"/>
              <v:path gradientshapeok="t" o:connecttype="rect"/>
            </v:shapetype>
            <v:shape id="Text Box 2" o:spid="_x0000_s1026" type="#_x0000_t202" style="position:absolute;margin-left:12.9pt;margin-top:-12.85pt;width:272.25pt;height:44.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" stroked="f">
              <v:textbox>
                <w:txbxContent>
                  <w:p w14:paraId="33068985" w14:textId="777F0A7F" w:rsidR="00623959" w:rsidRPr="009B7621" w:rsidRDefault="00623959" w:rsidP="00623959">
                    <w:pPr>
                      <w:spacing w:after="0" w:line="240" w:lineRule="auto"/>
                      <w:rPr>
                        <w:rFonts w:cstheme="minorHAnsi"/>
                        <w:b/>
                        <w:color w:val="006152"/>
                        <w:szCs w:val="28"/>
                      </w:rPr>
                    </w:pPr>
                    <w:bookmarkStart w:id="1" w:name="_Hlk137738825"/>
                    <w:r w:rsidRPr="009B7621">
                      <w:rPr>
                        <w:rFonts w:cstheme="minorHAnsi"/>
                        <w:b/>
                        <w:color w:val="006152"/>
                        <w:szCs w:val="28"/>
                      </w:rPr>
                      <w:t>HSE Public Health: Health Protection</w:t>
                    </w:r>
                  </w:p>
                  <w:p w14:paraId="1CD68750" w14:textId="77777777" w:rsidR="00623959" w:rsidRPr="00623959" w:rsidRDefault="00623959" w:rsidP="00623959">
                    <w:pPr>
                      <w:rPr>
                        <w:rFonts w:cstheme="minorHAnsi"/>
                        <w:b/>
                        <w:color w:val="006152"/>
                        <w:szCs w:val="28"/>
                      </w:rPr>
                    </w:pPr>
                    <w:r w:rsidRPr="00623959">
                      <w:rPr>
                        <w:rFonts w:cstheme="minorHAnsi"/>
                        <w:i/>
                        <w:color w:val="006152"/>
                        <w:szCs w:val="28"/>
                      </w:rPr>
                      <w:t>FSS Sláinte Poiblí: Chosaint Sláinte</w:t>
                    </w:r>
                  </w:p>
                  <w:p w14:paraId="4299CC8B" w14:textId="6D11D34A" w:rsidR="009D5507" w:rsidRDefault="009D5507" w:rsidP="00623959">
                    <w:pPr>
                      <w:spacing w:after="0" w:line="240" w:lineRule="auto"/>
                      <w:rPr>
                        <w:b/>
                        <w:color w:val="006152"/>
                        <w:szCs w:val="28"/>
                      </w:rPr>
                    </w:pPr>
                  </w:p>
                  <w:bookmarkEnd w:id="1"/>
                  <w:p w14:paraId="2148BA27" w14:textId="77777777" w:rsidR="009D5507" w:rsidRPr="002D1C3F" w:rsidRDefault="009D5507" w:rsidP="009D5507">
                    <w:pPr>
                      <w:rPr>
                        <w:sz w:val="24"/>
                        <w:szCs w:val="24"/>
                      </w:rPr>
                    </w:pPr>
                  </w:p>
                </w:txbxContent>
              </v:textbox>
              <w10:wrap type="square" anchorx="margin"/>
            </v:shape>
          </w:pict>
        </mc:Fallback>
      </mc:AlternateContent>
    </w:r>
    <w:r>
      <w:rPr>
        <w:b/>
        <w:noProof/>
        <w:sz w:val="24"/>
        <w:szCs w:val="24"/>
        <w:lang w:eastAsia="en-IE"/>
      </w:rPr>
      <w:drawing>
        <wp:anchor distT="0" distB="0" distL="114300" distR="114300" simplePos="0" relativeHeight="251656192" behindDoc="1" locked="0" layoutInCell="1" allowOverlap="1" wp14:anchorId="3A16BAED" wp14:editId="150DFC3A">
          <wp:simplePos x="0" y="0"/>
          <wp:positionH relativeFrom="margin">
            <wp:posOffset>-714375</wp:posOffset>
          </wp:positionH>
          <wp:positionV relativeFrom="paragraph">
            <wp:posOffset>-323215</wp:posOffset>
          </wp:positionV>
          <wp:extent cx="890270" cy="739140"/>
          <wp:effectExtent l="0" t="0" r="0" b="0"/>
          <wp:wrapTight wrapText="bothSides">
            <wp:wrapPolygon edited="0">
              <wp:start x="12942" y="1670"/>
              <wp:lineTo x="4622" y="3340"/>
              <wp:lineTo x="2311" y="5010"/>
              <wp:lineTo x="1849" y="18371"/>
              <wp:lineTo x="2773" y="19485"/>
              <wp:lineTo x="7857" y="19485"/>
              <wp:lineTo x="13866" y="18371"/>
              <wp:lineTo x="17563" y="15588"/>
              <wp:lineTo x="16639" y="11691"/>
              <wp:lineTo x="18950" y="9464"/>
              <wp:lineTo x="19874" y="4454"/>
              <wp:lineTo x="18488" y="1670"/>
              <wp:lineTo x="12942" y="167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mail-signature-logo.png"/>
                  <pic:cNvPicPr/>
                </pic:nvPicPr>
                <pic:blipFill>
                  <a:blip r:embed="rId1">
                    <a:extLst>
                      <a:ext uri="{28A0092B-C50C-407E-A947-70E740481C1C}">
                        <a14:useLocalDpi xmlns:a14="http://schemas.microsoft.com/office/drawing/2010/main" val="0"/>
                      </a:ext>
                    </a:extLst>
                  </a:blip>
                  <a:stretch>
                    <a:fillRect/>
                  </a:stretch>
                </pic:blipFill>
                <pic:spPr>
                  <a:xfrm>
                    <a:off x="0" y="0"/>
                    <a:ext cx="890270" cy="739140"/>
                  </a:xfrm>
                  <a:prstGeom prst="rect">
                    <a:avLst/>
                  </a:prstGeom>
                </pic:spPr>
              </pic:pic>
            </a:graphicData>
          </a:graphic>
          <wp14:sizeRelH relativeFrom="margin">
            <wp14:pctWidth>0</wp14:pctWidth>
          </wp14:sizeRelH>
          <wp14:sizeRelV relativeFrom="margin">
            <wp14:pctHeight>0</wp14:pctHeight>
          </wp14:sizeRelV>
        </wp:anchor>
      </w:drawing>
    </w:r>
  </w:p>
  <w:p w14:paraId="52488A58" w14:textId="77777777" w:rsidR="00673269" w:rsidRDefault="00673269" w:rsidP="00673269">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137"/>
    <w:multiLevelType w:val="hybridMultilevel"/>
    <w:tmpl w:val="42284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C2FE9"/>
    <w:multiLevelType w:val="hybridMultilevel"/>
    <w:tmpl w:val="E88008D4"/>
    <w:lvl w:ilvl="0" w:tplc="18090013">
      <w:start w:val="1"/>
      <w:numFmt w:val="upp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386844"/>
    <w:multiLevelType w:val="hybridMultilevel"/>
    <w:tmpl w:val="8A66F5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6277249"/>
    <w:multiLevelType w:val="hybridMultilevel"/>
    <w:tmpl w:val="BD4C8F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4B63ECB"/>
    <w:multiLevelType w:val="hybridMultilevel"/>
    <w:tmpl w:val="BD120E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E7F7236"/>
    <w:multiLevelType w:val="hybridMultilevel"/>
    <w:tmpl w:val="A642E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FF6F6F"/>
    <w:multiLevelType w:val="hybridMultilevel"/>
    <w:tmpl w:val="729E90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76C6BCC"/>
    <w:multiLevelType w:val="hybridMultilevel"/>
    <w:tmpl w:val="856E3472"/>
    <w:lvl w:ilvl="0" w:tplc="18090013">
      <w:start w:val="1"/>
      <w:numFmt w:val="upp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5C20CA"/>
    <w:multiLevelType w:val="hybridMultilevel"/>
    <w:tmpl w:val="E0E69800"/>
    <w:lvl w:ilvl="0" w:tplc="9DD81640">
      <w:start w:val="111"/>
      <w:numFmt w:val="decimal"/>
      <w:lvlText w:val="%1."/>
      <w:lvlJc w:val="left"/>
      <w:pPr>
        <w:ind w:left="825" w:hanging="46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69"/>
    <w:rsid w:val="00065904"/>
    <w:rsid w:val="0007149E"/>
    <w:rsid w:val="000B12D9"/>
    <w:rsid w:val="00195488"/>
    <w:rsid w:val="001B4D6E"/>
    <w:rsid w:val="001C09BC"/>
    <w:rsid w:val="00212FAD"/>
    <w:rsid w:val="00297596"/>
    <w:rsid w:val="00302491"/>
    <w:rsid w:val="00384BC6"/>
    <w:rsid w:val="00445C25"/>
    <w:rsid w:val="004C15B1"/>
    <w:rsid w:val="004F132D"/>
    <w:rsid w:val="005C0B75"/>
    <w:rsid w:val="00623959"/>
    <w:rsid w:val="00673269"/>
    <w:rsid w:val="00711026"/>
    <w:rsid w:val="00734109"/>
    <w:rsid w:val="00766092"/>
    <w:rsid w:val="0078509F"/>
    <w:rsid w:val="007874A6"/>
    <w:rsid w:val="007922FD"/>
    <w:rsid w:val="007A7F18"/>
    <w:rsid w:val="00803807"/>
    <w:rsid w:val="008910F6"/>
    <w:rsid w:val="009335DA"/>
    <w:rsid w:val="009B7621"/>
    <w:rsid w:val="009D5507"/>
    <w:rsid w:val="00A02529"/>
    <w:rsid w:val="00A462AB"/>
    <w:rsid w:val="00A47425"/>
    <w:rsid w:val="00AF6838"/>
    <w:rsid w:val="00B1763A"/>
    <w:rsid w:val="00B27CEA"/>
    <w:rsid w:val="00B97C09"/>
    <w:rsid w:val="00C019EA"/>
    <w:rsid w:val="00C06452"/>
    <w:rsid w:val="00CA3CCF"/>
    <w:rsid w:val="00CB346A"/>
    <w:rsid w:val="00D65C4C"/>
    <w:rsid w:val="00E00F78"/>
    <w:rsid w:val="00FC7C0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60FF8"/>
  <w15:chartTrackingRefBased/>
  <w15:docId w15:val="{B331F22D-7A31-41CB-BE33-C83896C4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12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12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269"/>
  </w:style>
  <w:style w:type="paragraph" w:styleId="Footer">
    <w:name w:val="footer"/>
    <w:basedOn w:val="Normal"/>
    <w:link w:val="FooterChar"/>
    <w:uiPriority w:val="99"/>
    <w:unhideWhenUsed/>
    <w:rsid w:val="00673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269"/>
  </w:style>
  <w:style w:type="paragraph" w:styleId="Title">
    <w:name w:val="Title"/>
    <w:basedOn w:val="Normal"/>
    <w:next w:val="Normal"/>
    <w:link w:val="TitleChar"/>
    <w:uiPriority w:val="10"/>
    <w:qFormat/>
    <w:rsid w:val="007A7F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F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55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12D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B12D9"/>
    <w:pPr>
      <w:ind w:left="720"/>
      <w:contextualSpacing/>
    </w:pPr>
  </w:style>
  <w:style w:type="table" w:styleId="TableGrid">
    <w:name w:val="Table Grid"/>
    <w:basedOn w:val="TableNormal"/>
    <w:uiPriority w:val="39"/>
    <w:rsid w:val="000B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B12D9"/>
    <w:pPr>
      <w:spacing w:after="200" w:line="240" w:lineRule="auto"/>
    </w:pPr>
    <w:rPr>
      <w:i/>
      <w:iCs/>
      <w:color w:val="44546A" w:themeColor="text2"/>
      <w:sz w:val="18"/>
      <w:szCs w:val="18"/>
    </w:rPr>
  </w:style>
  <w:style w:type="character" w:styleId="Hyperlink">
    <w:name w:val="Hyperlink"/>
    <w:basedOn w:val="DefaultParagraphFont"/>
    <w:uiPriority w:val="99"/>
    <w:unhideWhenUsed/>
    <w:rsid w:val="000B12D9"/>
    <w:rPr>
      <w:color w:val="0563C1" w:themeColor="hyperlink"/>
      <w:u w:val="single"/>
    </w:rPr>
  </w:style>
  <w:style w:type="paragraph" w:styleId="FootnoteText">
    <w:name w:val="footnote text"/>
    <w:basedOn w:val="Normal"/>
    <w:link w:val="FootnoteTextChar"/>
    <w:uiPriority w:val="99"/>
    <w:semiHidden/>
    <w:unhideWhenUsed/>
    <w:rsid w:val="000B12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2D9"/>
    <w:rPr>
      <w:sz w:val="20"/>
      <w:szCs w:val="20"/>
    </w:rPr>
  </w:style>
  <w:style w:type="character" w:styleId="FootnoteReference">
    <w:name w:val="footnote reference"/>
    <w:basedOn w:val="DefaultParagraphFont"/>
    <w:uiPriority w:val="99"/>
    <w:semiHidden/>
    <w:unhideWhenUsed/>
    <w:rsid w:val="000B12D9"/>
    <w:rPr>
      <w:vertAlign w:val="superscript"/>
    </w:rPr>
  </w:style>
  <w:style w:type="paragraph" w:customStyle="1" w:styleId="xmsonormal">
    <w:name w:val="x_msonormal"/>
    <w:basedOn w:val="Normal"/>
    <w:rsid w:val="000B12D9"/>
    <w:pPr>
      <w:spacing w:after="0" w:line="240" w:lineRule="auto"/>
    </w:pPr>
    <w:rPr>
      <w:rFonts w:ascii="Times New Roman" w:hAnsi="Times New Roman" w:cs="Times New Roman"/>
      <w:sz w:val="24"/>
      <w:szCs w:val="24"/>
      <w:lang w:eastAsia="en-IE"/>
    </w:rPr>
  </w:style>
  <w:style w:type="character" w:customStyle="1" w:styleId="Heading3Char">
    <w:name w:val="Heading 3 Char"/>
    <w:basedOn w:val="DefaultParagraphFont"/>
    <w:link w:val="Heading3"/>
    <w:uiPriority w:val="9"/>
    <w:rsid w:val="000B12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11026"/>
    <w:pPr>
      <w:spacing w:after="0" w:line="240" w:lineRule="auto"/>
    </w:pPr>
  </w:style>
  <w:style w:type="character" w:styleId="CommentReference">
    <w:name w:val="annotation reference"/>
    <w:basedOn w:val="DefaultParagraphFont"/>
    <w:uiPriority w:val="99"/>
    <w:semiHidden/>
    <w:unhideWhenUsed/>
    <w:rsid w:val="007874A6"/>
    <w:rPr>
      <w:sz w:val="16"/>
      <w:szCs w:val="16"/>
    </w:rPr>
  </w:style>
  <w:style w:type="paragraph" w:styleId="CommentText">
    <w:name w:val="annotation text"/>
    <w:basedOn w:val="Normal"/>
    <w:link w:val="CommentTextChar"/>
    <w:uiPriority w:val="99"/>
    <w:unhideWhenUsed/>
    <w:rsid w:val="007874A6"/>
    <w:pPr>
      <w:spacing w:line="240" w:lineRule="auto"/>
    </w:pPr>
    <w:rPr>
      <w:sz w:val="20"/>
      <w:szCs w:val="20"/>
    </w:rPr>
  </w:style>
  <w:style w:type="character" w:customStyle="1" w:styleId="CommentTextChar">
    <w:name w:val="Comment Text Char"/>
    <w:basedOn w:val="DefaultParagraphFont"/>
    <w:link w:val="CommentText"/>
    <w:uiPriority w:val="99"/>
    <w:rsid w:val="007874A6"/>
    <w:rPr>
      <w:sz w:val="20"/>
      <w:szCs w:val="20"/>
    </w:rPr>
  </w:style>
  <w:style w:type="paragraph" w:styleId="CommentSubject">
    <w:name w:val="annotation subject"/>
    <w:basedOn w:val="CommentText"/>
    <w:next w:val="CommentText"/>
    <w:link w:val="CommentSubjectChar"/>
    <w:uiPriority w:val="99"/>
    <w:semiHidden/>
    <w:unhideWhenUsed/>
    <w:rsid w:val="007874A6"/>
    <w:rPr>
      <w:b/>
      <w:bCs/>
    </w:rPr>
  </w:style>
  <w:style w:type="character" w:customStyle="1" w:styleId="CommentSubjectChar">
    <w:name w:val="Comment Subject Char"/>
    <w:basedOn w:val="CommentTextChar"/>
    <w:link w:val="CommentSubject"/>
    <w:uiPriority w:val="99"/>
    <w:semiHidden/>
    <w:rsid w:val="007874A6"/>
    <w:rPr>
      <w:b/>
      <w:bCs/>
      <w:sz w:val="20"/>
      <w:szCs w:val="20"/>
    </w:rPr>
  </w:style>
  <w:style w:type="character" w:customStyle="1" w:styleId="UnresolvedMention1">
    <w:name w:val="Unresolved Mention1"/>
    <w:basedOn w:val="DefaultParagraphFont"/>
    <w:uiPriority w:val="99"/>
    <w:semiHidden/>
    <w:unhideWhenUsed/>
    <w:rsid w:val="00734109"/>
    <w:rPr>
      <w:color w:val="605E5C"/>
      <w:shd w:val="clear" w:color="auto" w:fill="E1DFDD"/>
    </w:rPr>
  </w:style>
  <w:style w:type="character" w:styleId="FollowedHyperlink">
    <w:name w:val="FollowedHyperlink"/>
    <w:basedOn w:val="DefaultParagraphFont"/>
    <w:uiPriority w:val="99"/>
    <w:semiHidden/>
    <w:unhideWhenUsed/>
    <w:rsid w:val="00734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sc.ie/a-z/vaccinepreventable/measles/casedefinition/" TargetMode="External"/><Relationship Id="rId13" Type="http://schemas.openxmlformats.org/officeDocument/2006/relationships/hyperlink" Target="https://www.hpsc.ie/a-z/specificpopulations/migrants/publichealthresourcesformigrants/publichealthpriorities/HSE_Measles%20Swab%20Infogram_RUSSIAN_190523.pdf" TargetMode="External"/><Relationship Id="rId18" Type="http://schemas.openxmlformats.org/officeDocument/2006/relationships/hyperlink" Target="https://www.hpsc.ie/a-z/specificpopulations/migrants/publichealthresourcesformigrants/publichealthpriorities/HSE_13344_Measles%20Swab%20Infogram_HSE_SOMALI_PROOF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hpsc.ie/a-z/specificpopulations/migrants/publichealthresourcesformigrants/publichealthpriorities/HSE_Measles%20Swab%20Infogram_UKRAINIAN_190523.pdf" TargetMode="External"/><Relationship Id="rId17" Type="http://schemas.openxmlformats.org/officeDocument/2006/relationships/hyperlink" Target="https://www.hpsc.ie/a-z/specificpopulations/migrants/publichealthresourcesformigrants/publichealthpriorities/HSE_Measles%20Swab%20Infogram_PASHTO_190523.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psc.ie/a-z/specificpopulations/migrants/publichealthresourcesformigrants/publichealthpriorities/HSE_Measles%20Swab%20Infogram_ARABIC_190523.pdf" TargetMode="External"/><Relationship Id="rId20" Type="http://schemas.openxmlformats.org/officeDocument/2006/relationships/hyperlink" Target="https://nvrl.ucd.ie/outofho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psc.ie/a-z/specificpopulations/migrants/publichealthresourcesformigrants/publichealthpriorities/HSE_Measles%20Swab%20Infogram_English_190523.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psc.ie/a-z/specificpopulations/migrants/publichealthresourcesformigrants/publichealthpriorities/HSE_Measles%20Swab%20Infogram_GEORGIAN_190523.pdf" TargetMode="External"/><Relationship Id="rId23" Type="http://schemas.openxmlformats.org/officeDocument/2006/relationships/hyperlink" Target="https://www.thelancet.com/pb/assets/raw/Lancet/infographics/measles/image.pdf" TargetMode="External"/><Relationship Id="rId10" Type="http://schemas.openxmlformats.org/officeDocument/2006/relationships/hyperlink" Target="https://nvrl.ucd.ie/sites/default/files/uploads/pdfs/LF_UM_001m_rev_10_Oral_Fluid_Investigation_Request_Form.pdf" TargetMode="External"/><Relationship Id="rId19" Type="http://schemas.openxmlformats.org/officeDocument/2006/relationships/hyperlink" Target="https://www.hpsc.ie/a-z/specificpopulations/migrants/publichealthresourcesformigrants/publichealthpriorities/HSE_Measles%20Swab%20Infogram_URDU_190523.pdf" TargetMode="External"/><Relationship Id="rId4" Type="http://schemas.openxmlformats.org/officeDocument/2006/relationships/settings" Target="settings.xml"/><Relationship Id="rId9" Type="http://schemas.openxmlformats.org/officeDocument/2006/relationships/hyperlink" Target="https://nvrl.ucd.ie/info" TargetMode="External"/><Relationship Id="rId14" Type="http://schemas.openxmlformats.org/officeDocument/2006/relationships/hyperlink" Target="https://www.hpsc.ie/a-z/specificpopulations/migrants/publichealthresourcesformigrants/publichealthpriorities/HSE_Measles%20Swab%20Infogram_TURKISH_190523.pdf"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7D6C-E366-4D90-9141-2DB3EF5A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Matthews</dc:creator>
  <cp:keywords/>
  <dc:description/>
  <cp:lastModifiedBy>Helen Dawkins</cp:lastModifiedBy>
  <cp:revision>2</cp:revision>
  <dcterms:created xsi:type="dcterms:W3CDTF">2024-02-16T16:10:00Z</dcterms:created>
  <dcterms:modified xsi:type="dcterms:W3CDTF">2024-02-16T16:10:00Z</dcterms:modified>
</cp:coreProperties>
</file>