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C9" w:rsidRPr="00807012" w:rsidRDefault="007D1EDF" w:rsidP="00D54ED7">
      <w:pPr>
        <w:spacing w:line="240" w:lineRule="auto"/>
        <w:rPr>
          <w:sz w:val="24"/>
        </w:rPr>
      </w:pPr>
      <w:r w:rsidRPr="00807012">
        <w:rPr>
          <w:sz w:val="24"/>
        </w:rPr>
        <w:t>Expressions of interest are invited from NVRL staff that may wish to attend any of the upcoming conferences outlined in the list below</w:t>
      </w:r>
      <w:r w:rsidR="008A4604" w:rsidRPr="00807012">
        <w:rPr>
          <w:sz w:val="24"/>
        </w:rPr>
        <w:t>.</w:t>
      </w:r>
      <w:r w:rsidRPr="00807012">
        <w:rPr>
          <w:sz w:val="24"/>
        </w:rPr>
        <w:t xml:space="preserve">  Understandably</w:t>
      </w:r>
      <w:r w:rsidR="005661C9" w:rsidRPr="00807012">
        <w:rPr>
          <w:sz w:val="24"/>
        </w:rPr>
        <w:t xml:space="preserve">, </w:t>
      </w:r>
      <w:r w:rsidRPr="00807012">
        <w:rPr>
          <w:sz w:val="24"/>
        </w:rPr>
        <w:t>there</w:t>
      </w:r>
      <w:r w:rsidR="005661C9" w:rsidRPr="00807012">
        <w:rPr>
          <w:sz w:val="24"/>
        </w:rPr>
        <w:t xml:space="preserve"> is a restriction on the number</w:t>
      </w:r>
      <w:r w:rsidRPr="00807012">
        <w:rPr>
          <w:sz w:val="24"/>
        </w:rPr>
        <w:t xml:space="preserve"> of applicants permitted to attend</w:t>
      </w:r>
      <w:r w:rsidR="005661C9" w:rsidRPr="00807012">
        <w:rPr>
          <w:sz w:val="24"/>
        </w:rPr>
        <w:t xml:space="preserve"> each event</w:t>
      </w:r>
      <w:r w:rsidRPr="00807012">
        <w:rPr>
          <w:sz w:val="24"/>
        </w:rPr>
        <w:t xml:space="preserve"> and selection will be competitive.    Applicant</w:t>
      </w:r>
      <w:r w:rsidR="008A4604" w:rsidRPr="00807012">
        <w:rPr>
          <w:sz w:val="24"/>
        </w:rPr>
        <w:t>s</w:t>
      </w:r>
      <w:r w:rsidRPr="00807012">
        <w:rPr>
          <w:sz w:val="24"/>
        </w:rPr>
        <w:t xml:space="preserve"> should detail in writing their reasons for wishing to attend the conference</w:t>
      </w:r>
      <w:r w:rsidR="008A4604" w:rsidRPr="00807012">
        <w:rPr>
          <w:sz w:val="24"/>
        </w:rPr>
        <w:t xml:space="preserve"> including event subscription fee</w:t>
      </w:r>
      <w:r w:rsidR="00B66E60" w:rsidRPr="00807012">
        <w:rPr>
          <w:sz w:val="24"/>
        </w:rPr>
        <w:t>s,</w:t>
      </w:r>
      <w:r w:rsidR="008A4604" w:rsidRPr="00807012">
        <w:rPr>
          <w:sz w:val="24"/>
        </w:rPr>
        <w:t xml:space="preserve"> approximate</w:t>
      </w:r>
      <w:r w:rsidR="00B66E60" w:rsidRPr="00807012">
        <w:rPr>
          <w:sz w:val="24"/>
        </w:rPr>
        <w:t xml:space="preserve"> </w:t>
      </w:r>
      <w:r w:rsidR="008A4604" w:rsidRPr="00807012">
        <w:rPr>
          <w:sz w:val="24"/>
        </w:rPr>
        <w:t xml:space="preserve">cost of </w:t>
      </w:r>
      <w:r w:rsidR="00B66E60" w:rsidRPr="00807012">
        <w:rPr>
          <w:sz w:val="24"/>
        </w:rPr>
        <w:t xml:space="preserve">accommodation, flights and </w:t>
      </w:r>
      <w:r w:rsidR="005661C9" w:rsidRPr="00807012">
        <w:rPr>
          <w:sz w:val="24"/>
        </w:rPr>
        <w:t xml:space="preserve">submit to the Training Officer as soon as possible so arrangements can be made.  If there are any relevant events not mentioned on the list below please bring </w:t>
      </w:r>
      <w:r w:rsidR="008A4604" w:rsidRPr="00807012">
        <w:rPr>
          <w:sz w:val="24"/>
        </w:rPr>
        <w:t>them</w:t>
      </w:r>
      <w:r w:rsidR="005661C9" w:rsidRPr="00807012">
        <w:rPr>
          <w:sz w:val="24"/>
        </w:rPr>
        <w:t xml:space="preserve"> to the attention of the Training Officer </w:t>
      </w:r>
      <w:r w:rsidR="008A4604" w:rsidRPr="00807012">
        <w:rPr>
          <w:sz w:val="24"/>
        </w:rPr>
        <w:t>so they can be included.</w:t>
      </w:r>
    </w:p>
    <w:p w:rsidR="005661C9" w:rsidRPr="00B66E60" w:rsidRDefault="005661C9">
      <w:pPr>
        <w:rPr>
          <w:b/>
        </w:rPr>
      </w:pPr>
      <w:r w:rsidRPr="00B66E60">
        <w:rPr>
          <w:b/>
        </w:rPr>
        <w:t>List of upcoming conferences</w:t>
      </w:r>
      <w:r w:rsidR="00807012">
        <w:rPr>
          <w:b/>
        </w:rPr>
        <w:t xml:space="preserve"> for the remainder of 2016</w:t>
      </w:r>
      <w:r w:rsidR="008A4604" w:rsidRPr="00B66E60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3527"/>
        <w:gridCol w:w="4422"/>
      </w:tblGrid>
      <w:tr w:rsidR="008A4604" w:rsidTr="00E40422">
        <w:tc>
          <w:tcPr>
            <w:tcW w:w="1293" w:type="dxa"/>
          </w:tcPr>
          <w:p w:rsidR="008A4604" w:rsidRPr="008A4604" w:rsidRDefault="008A4604" w:rsidP="008A4604">
            <w:pPr>
              <w:jc w:val="center"/>
              <w:rPr>
                <w:b/>
                <w:sz w:val="24"/>
              </w:rPr>
            </w:pPr>
            <w:r w:rsidRPr="008A4604">
              <w:rPr>
                <w:b/>
                <w:sz w:val="24"/>
              </w:rPr>
              <w:t>Date</w:t>
            </w:r>
          </w:p>
        </w:tc>
        <w:tc>
          <w:tcPr>
            <w:tcW w:w="3527" w:type="dxa"/>
          </w:tcPr>
          <w:p w:rsidR="008A4604" w:rsidRPr="008A4604" w:rsidRDefault="008A4604" w:rsidP="008A4604">
            <w:pPr>
              <w:jc w:val="center"/>
              <w:rPr>
                <w:b/>
                <w:sz w:val="24"/>
              </w:rPr>
            </w:pPr>
            <w:r w:rsidRPr="008A4604">
              <w:rPr>
                <w:b/>
                <w:sz w:val="24"/>
              </w:rPr>
              <w:t>Conference/Event</w:t>
            </w:r>
          </w:p>
        </w:tc>
        <w:tc>
          <w:tcPr>
            <w:tcW w:w="4422" w:type="dxa"/>
          </w:tcPr>
          <w:p w:rsidR="008A4604" w:rsidRPr="008A4604" w:rsidRDefault="008A4604" w:rsidP="008A4604">
            <w:pPr>
              <w:jc w:val="center"/>
              <w:rPr>
                <w:b/>
                <w:sz w:val="24"/>
              </w:rPr>
            </w:pPr>
            <w:r w:rsidRPr="008A4604">
              <w:rPr>
                <w:b/>
                <w:sz w:val="24"/>
              </w:rPr>
              <w:t>Venue</w:t>
            </w:r>
          </w:p>
        </w:tc>
      </w:tr>
      <w:tr w:rsidR="008A1EB3" w:rsidTr="00E40422">
        <w:tc>
          <w:tcPr>
            <w:tcW w:w="1293" w:type="dxa"/>
          </w:tcPr>
          <w:p w:rsidR="008A1EB3" w:rsidRDefault="008A1EB3" w:rsidP="008A46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September 13</w:t>
            </w:r>
            <w:r w:rsidRPr="008A1EB3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16</w:t>
            </w:r>
            <w:r w:rsidRPr="008A1EB3">
              <w:rPr>
                <w:sz w:val="24"/>
                <w:vertAlign w:val="superscript"/>
              </w:rPr>
              <w:t>th</w:t>
            </w:r>
          </w:p>
          <w:p w:rsidR="008A1EB3" w:rsidRDefault="008A1EB3" w:rsidP="008A46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3527" w:type="dxa"/>
          </w:tcPr>
          <w:p w:rsidR="008A1EB3" w:rsidRDefault="008A1EB3" w:rsidP="00E25F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8A1EB3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Food and Environmental Virology Conference,</w:t>
            </w:r>
          </w:p>
          <w:p w:rsidR="008A1EB3" w:rsidRDefault="008A1EB3" w:rsidP="00E25F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International Society for Food and Environmental Virology (ISFEV)</w:t>
            </w:r>
          </w:p>
        </w:tc>
        <w:tc>
          <w:tcPr>
            <w:tcW w:w="4422" w:type="dxa"/>
          </w:tcPr>
          <w:p w:rsidR="008A1EB3" w:rsidRDefault="008A1EB3" w:rsidP="008A4604">
            <w:pPr>
              <w:jc w:val="center"/>
              <w:rPr>
                <w:sz w:val="24"/>
              </w:rPr>
            </w:pPr>
          </w:p>
          <w:p w:rsidR="008A1EB3" w:rsidRDefault="008A1EB3" w:rsidP="008A460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Kusatsu</w:t>
            </w:r>
            <w:proofErr w:type="spellEnd"/>
            <w:r>
              <w:rPr>
                <w:sz w:val="24"/>
              </w:rPr>
              <w:t>, Japan</w:t>
            </w:r>
          </w:p>
        </w:tc>
      </w:tr>
      <w:tr w:rsidR="00E25F3A" w:rsidTr="00E40422">
        <w:tc>
          <w:tcPr>
            <w:tcW w:w="1293" w:type="dxa"/>
          </w:tcPr>
          <w:p w:rsidR="00E25F3A" w:rsidRDefault="00E25F3A" w:rsidP="008A46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September 14</w:t>
            </w:r>
            <w:r w:rsidRPr="00E25F3A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17</w:t>
            </w:r>
            <w:r w:rsidRPr="00E25F3A">
              <w:rPr>
                <w:sz w:val="24"/>
                <w:vertAlign w:val="superscript"/>
              </w:rPr>
              <w:t>th</w:t>
            </w:r>
          </w:p>
          <w:p w:rsidR="00E25F3A" w:rsidRPr="00B66E60" w:rsidRDefault="00E25F3A" w:rsidP="008A46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3527" w:type="dxa"/>
          </w:tcPr>
          <w:p w:rsidR="00E25F3A" w:rsidRDefault="00E25F3A" w:rsidP="00E25F3A">
            <w:pPr>
              <w:jc w:val="center"/>
              <w:rPr>
                <w:sz w:val="24"/>
              </w:rPr>
            </w:pPr>
          </w:p>
          <w:p w:rsidR="00E25F3A" w:rsidRDefault="00E25F3A" w:rsidP="00E25F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Pr="00E25F3A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annual European Society for Clinical Virology (ESCV) meeting</w:t>
            </w:r>
          </w:p>
          <w:p w:rsidR="00E25F3A" w:rsidRDefault="00E25F3A" w:rsidP="00E25F3A">
            <w:pPr>
              <w:jc w:val="center"/>
              <w:rPr>
                <w:sz w:val="24"/>
              </w:rPr>
            </w:pPr>
          </w:p>
        </w:tc>
        <w:tc>
          <w:tcPr>
            <w:tcW w:w="4422" w:type="dxa"/>
          </w:tcPr>
          <w:p w:rsidR="00E25F3A" w:rsidRDefault="00E25F3A" w:rsidP="008A4604">
            <w:pPr>
              <w:jc w:val="center"/>
              <w:rPr>
                <w:sz w:val="24"/>
              </w:rPr>
            </w:pPr>
          </w:p>
          <w:p w:rsidR="00E25F3A" w:rsidRDefault="00E25F3A" w:rsidP="008A46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Lisbon, Portugal</w:t>
            </w:r>
          </w:p>
        </w:tc>
      </w:tr>
      <w:tr w:rsidR="00D54ED7" w:rsidTr="00E40422">
        <w:tc>
          <w:tcPr>
            <w:tcW w:w="1293" w:type="dxa"/>
          </w:tcPr>
          <w:p w:rsidR="00D54ED7" w:rsidRDefault="00D54ED7" w:rsidP="008A46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September 15</w:t>
            </w:r>
            <w:r w:rsidRPr="00D54ED7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2016</w:t>
            </w:r>
          </w:p>
        </w:tc>
        <w:tc>
          <w:tcPr>
            <w:tcW w:w="3527" w:type="dxa"/>
          </w:tcPr>
          <w:p w:rsidR="00D54ED7" w:rsidRDefault="00D54ED7" w:rsidP="00D54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D54ED7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Annual Antiviral Therapy &amp; Drug Resistance Meeting – evolving concepts in antiviral therapy &amp; drug resistance</w:t>
            </w:r>
          </w:p>
        </w:tc>
        <w:tc>
          <w:tcPr>
            <w:tcW w:w="4422" w:type="dxa"/>
          </w:tcPr>
          <w:p w:rsidR="00D54ED7" w:rsidRDefault="00D54ED7" w:rsidP="008A4604">
            <w:pPr>
              <w:jc w:val="center"/>
              <w:rPr>
                <w:sz w:val="24"/>
              </w:rPr>
            </w:pPr>
          </w:p>
          <w:p w:rsidR="00D54ED7" w:rsidRDefault="00D54ED7" w:rsidP="008A460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London, UK </w:t>
            </w:r>
          </w:p>
        </w:tc>
      </w:tr>
      <w:tr w:rsidR="008A4604" w:rsidTr="00E40422">
        <w:tc>
          <w:tcPr>
            <w:tcW w:w="1293" w:type="dxa"/>
          </w:tcPr>
          <w:p w:rsidR="008A4604" w:rsidRDefault="00B66E60" w:rsidP="008A4604">
            <w:pPr>
              <w:jc w:val="center"/>
              <w:rPr>
                <w:sz w:val="24"/>
              </w:rPr>
            </w:pPr>
            <w:r w:rsidRPr="00B66E60">
              <w:rPr>
                <w:sz w:val="24"/>
              </w:rPr>
              <w:t>September 18</w:t>
            </w:r>
            <w:r w:rsidRPr="00B66E60">
              <w:rPr>
                <w:sz w:val="24"/>
                <w:vertAlign w:val="superscript"/>
              </w:rPr>
              <w:t>th</w:t>
            </w:r>
            <w:r w:rsidRPr="00B66E60">
              <w:rPr>
                <w:sz w:val="24"/>
              </w:rPr>
              <w:t xml:space="preserve"> – 21</w:t>
            </w:r>
            <w:r w:rsidRPr="00E25F3A">
              <w:rPr>
                <w:sz w:val="24"/>
                <w:vertAlign w:val="superscript"/>
              </w:rPr>
              <w:t>st</w:t>
            </w:r>
          </w:p>
          <w:p w:rsidR="00E25F3A" w:rsidRPr="00B66E60" w:rsidRDefault="00E25F3A" w:rsidP="008A46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3527" w:type="dxa"/>
          </w:tcPr>
          <w:p w:rsidR="00E40422" w:rsidRDefault="00E40422" w:rsidP="008A4604">
            <w:pPr>
              <w:jc w:val="center"/>
              <w:rPr>
                <w:sz w:val="24"/>
              </w:rPr>
            </w:pPr>
          </w:p>
          <w:p w:rsidR="008A4604" w:rsidRDefault="00B66E60" w:rsidP="008A4604">
            <w:pPr>
              <w:jc w:val="center"/>
              <w:rPr>
                <w:sz w:val="24"/>
              </w:rPr>
            </w:pPr>
            <w:r w:rsidRPr="00B66E60">
              <w:rPr>
                <w:sz w:val="24"/>
              </w:rPr>
              <w:t>4</w:t>
            </w:r>
            <w:r w:rsidRPr="00B66E60">
              <w:rPr>
                <w:sz w:val="24"/>
                <w:vertAlign w:val="superscript"/>
              </w:rPr>
              <w:t>th</w:t>
            </w:r>
            <w:r w:rsidRPr="00B66E60">
              <w:rPr>
                <w:sz w:val="24"/>
              </w:rPr>
              <w:t xml:space="preserve"> Antivirals Congress</w:t>
            </w:r>
          </w:p>
          <w:p w:rsidR="00F56E68" w:rsidRDefault="00F56E68" w:rsidP="008A46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(Elsevier)</w:t>
            </w:r>
          </w:p>
          <w:p w:rsidR="00E40422" w:rsidRPr="00B66E60" w:rsidRDefault="00E40422" w:rsidP="008A4604">
            <w:pPr>
              <w:jc w:val="center"/>
              <w:rPr>
                <w:sz w:val="24"/>
              </w:rPr>
            </w:pPr>
          </w:p>
        </w:tc>
        <w:tc>
          <w:tcPr>
            <w:tcW w:w="4422" w:type="dxa"/>
          </w:tcPr>
          <w:p w:rsidR="00E40422" w:rsidRDefault="00E40422" w:rsidP="008A4604">
            <w:pPr>
              <w:jc w:val="center"/>
              <w:rPr>
                <w:sz w:val="24"/>
              </w:rPr>
            </w:pPr>
          </w:p>
          <w:p w:rsidR="008A4604" w:rsidRPr="00B66E60" w:rsidRDefault="00B66E60" w:rsidP="008A4604">
            <w:pPr>
              <w:jc w:val="center"/>
              <w:rPr>
                <w:sz w:val="24"/>
              </w:rPr>
            </w:pPr>
            <w:proofErr w:type="spellStart"/>
            <w:r w:rsidRPr="00B66E60">
              <w:rPr>
                <w:sz w:val="24"/>
              </w:rPr>
              <w:t>Sitges</w:t>
            </w:r>
            <w:proofErr w:type="spellEnd"/>
            <w:r w:rsidRPr="00B66E60">
              <w:rPr>
                <w:sz w:val="24"/>
              </w:rPr>
              <w:t>, Barcelona, Spain</w:t>
            </w:r>
          </w:p>
        </w:tc>
      </w:tr>
      <w:tr w:rsidR="00807012" w:rsidTr="00E40422">
        <w:tc>
          <w:tcPr>
            <w:tcW w:w="1293" w:type="dxa"/>
          </w:tcPr>
          <w:p w:rsidR="00807012" w:rsidRDefault="00807012" w:rsidP="0048297C">
            <w:pPr>
              <w:jc w:val="center"/>
              <w:rPr>
                <w:sz w:val="24"/>
              </w:rPr>
            </w:pPr>
            <w:r w:rsidRPr="00E40422">
              <w:rPr>
                <w:sz w:val="24"/>
              </w:rPr>
              <w:t>October 13</w:t>
            </w:r>
            <w:r w:rsidRPr="00E40422">
              <w:rPr>
                <w:sz w:val="24"/>
                <w:vertAlign w:val="superscript"/>
              </w:rPr>
              <w:t>th</w:t>
            </w:r>
            <w:r w:rsidRPr="00E40422">
              <w:rPr>
                <w:sz w:val="24"/>
              </w:rPr>
              <w:t xml:space="preserve"> –</w:t>
            </w:r>
            <w:r>
              <w:rPr>
                <w:sz w:val="24"/>
              </w:rPr>
              <w:t xml:space="preserve"> 14</w:t>
            </w:r>
            <w:r w:rsidRPr="00E25F3A">
              <w:rPr>
                <w:sz w:val="24"/>
                <w:vertAlign w:val="superscript"/>
              </w:rPr>
              <w:t>th</w:t>
            </w:r>
          </w:p>
          <w:p w:rsidR="00807012" w:rsidRPr="00E40422" w:rsidRDefault="00807012" w:rsidP="0048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3527" w:type="dxa"/>
          </w:tcPr>
          <w:p w:rsidR="00807012" w:rsidRDefault="00807012" w:rsidP="0048297C">
            <w:pPr>
              <w:jc w:val="center"/>
              <w:rPr>
                <w:sz w:val="24"/>
              </w:rPr>
            </w:pPr>
          </w:p>
          <w:p w:rsidR="00807012" w:rsidRDefault="00807012" w:rsidP="0048297C">
            <w:pPr>
              <w:jc w:val="center"/>
              <w:rPr>
                <w:sz w:val="24"/>
              </w:rPr>
            </w:pPr>
            <w:r w:rsidRPr="00E40422">
              <w:rPr>
                <w:sz w:val="24"/>
              </w:rPr>
              <w:t>7</w:t>
            </w:r>
            <w:r w:rsidRPr="00E40422">
              <w:rPr>
                <w:sz w:val="24"/>
                <w:vertAlign w:val="superscript"/>
              </w:rPr>
              <w:t>th</w:t>
            </w:r>
            <w:r w:rsidRPr="00E40422">
              <w:rPr>
                <w:sz w:val="24"/>
              </w:rPr>
              <w:t xml:space="preserve"> International Congress on Clinical Virology</w:t>
            </w:r>
          </w:p>
          <w:p w:rsidR="00807012" w:rsidRPr="00E40422" w:rsidRDefault="00807012" w:rsidP="0048297C">
            <w:pPr>
              <w:jc w:val="center"/>
              <w:rPr>
                <w:sz w:val="24"/>
              </w:rPr>
            </w:pPr>
          </w:p>
        </w:tc>
        <w:tc>
          <w:tcPr>
            <w:tcW w:w="4422" w:type="dxa"/>
          </w:tcPr>
          <w:p w:rsidR="00807012" w:rsidRDefault="00807012" w:rsidP="0048297C">
            <w:pPr>
              <w:jc w:val="center"/>
              <w:rPr>
                <w:sz w:val="24"/>
              </w:rPr>
            </w:pPr>
          </w:p>
          <w:p w:rsidR="00807012" w:rsidRPr="00E40422" w:rsidRDefault="00807012" w:rsidP="0048297C">
            <w:pPr>
              <w:jc w:val="center"/>
              <w:rPr>
                <w:sz w:val="24"/>
              </w:rPr>
            </w:pPr>
            <w:r w:rsidRPr="00E40422">
              <w:rPr>
                <w:sz w:val="24"/>
              </w:rPr>
              <w:t>Manchester, UK</w:t>
            </w:r>
          </w:p>
        </w:tc>
      </w:tr>
      <w:tr w:rsidR="00807012" w:rsidRPr="00E40422" w:rsidTr="00E40422">
        <w:tc>
          <w:tcPr>
            <w:tcW w:w="1293" w:type="dxa"/>
          </w:tcPr>
          <w:p w:rsidR="00807012" w:rsidRDefault="00807012" w:rsidP="0048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October 14</w:t>
            </w:r>
            <w:r w:rsidRPr="00E40422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15</w:t>
            </w:r>
            <w:r w:rsidRPr="00E25F3A">
              <w:rPr>
                <w:sz w:val="24"/>
                <w:vertAlign w:val="superscript"/>
              </w:rPr>
              <w:t>th</w:t>
            </w:r>
          </w:p>
          <w:p w:rsidR="00807012" w:rsidRPr="008A4604" w:rsidRDefault="00807012" w:rsidP="0048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3527" w:type="dxa"/>
          </w:tcPr>
          <w:p w:rsidR="00807012" w:rsidRDefault="00807012" w:rsidP="0048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Challenges in the Management of Viral Hepatitis</w:t>
            </w:r>
          </w:p>
          <w:p w:rsidR="00807012" w:rsidRPr="00B66E60" w:rsidRDefault="00807012" w:rsidP="00723E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ESCMID Workshop</w:t>
            </w:r>
          </w:p>
        </w:tc>
        <w:tc>
          <w:tcPr>
            <w:tcW w:w="4422" w:type="dxa"/>
          </w:tcPr>
          <w:p w:rsidR="00807012" w:rsidRDefault="00807012" w:rsidP="0048297C">
            <w:pPr>
              <w:jc w:val="center"/>
              <w:rPr>
                <w:sz w:val="24"/>
              </w:rPr>
            </w:pPr>
          </w:p>
          <w:p w:rsidR="00807012" w:rsidRPr="00B66E60" w:rsidRDefault="00807012" w:rsidP="0048297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Cavtat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Coatia</w:t>
            </w:r>
            <w:proofErr w:type="spellEnd"/>
          </w:p>
        </w:tc>
      </w:tr>
      <w:tr w:rsidR="00807012" w:rsidTr="00E40422">
        <w:tc>
          <w:tcPr>
            <w:tcW w:w="1293" w:type="dxa"/>
          </w:tcPr>
          <w:p w:rsidR="00807012" w:rsidRPr="008A4604" w:rsidRDefault="00807012" w:rsidP="0048297C">
            <w:pPr>
              <w:jc w:val="center"/>
              <w:rPr>
                <w:sz w:val="24"/>
              </w:rPr>
            </w:pPr>
            <w:r w:rsidRPr="008A4604">
              <w:rPr>
                <w:sz w:val="24"/>
              </w:rPr>
              <w:t>October 19</w:t>
            </w:r>
            <w:r w:rsidRPr="008A4604">
              <w:rPr>
                <w:sz w:val="24"/>
                <w:vertAlign w:val="superscript"/>
              </w:rPr>
              <w:t>th</w:t>
            </w:r>
            <w:r w:rsidRPr="008A4604">
              <w:rPr>
                <w:sz w:val="24"/>
              </w:rPr>
              <w:t xml:space="preserve"> -</w:t>
            </w:r>
            <w:r>
              <w:rPr>
                <w:sz w:val="24"/>
              </w:rPr>
              <w:t xml:space="preserve"> </w:t>
            </w:r>
            <w:r w:rsidRPr="008A4604">
              <w:rPr>
                <w:sz w:val="24"/>
              </w:rPr>
              <w:t>22</w:t>
            </w:r>
            <w:r w:rsidRPr="008A4604">
              <w:rPr>
                <w:sz w:val="24"/>
                <w:vertAlign w:val="superscript"/>
              </w:rPr>
              <w:t>nd</w:t>
            </w:r>
            <w:r w:rsidRPr="008A4604">
              <w:rPr>
                <w:sz w:val="24"/>
              </w:rPr>
              <w:t xml:space="preserve"> 2016</w:t>
            </w:r>
          </w:p>
        </w:tc>
        <w:tc>
          <w:tcPr>
            <w:tcW w:w="3527" w:type="dxa"/>
          </w:tcPr>
          <w:p w:rsidR="00807012" w:rsidRDefault="00807012" w:rsidP="0048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(ECMID) </w:t>
            </w:r>
            <w:r w:rsidRPr="00B66E60">
              <w:rPr>
                <w:sz w:val="24"/>
              </w:rPr>
              <w:t>6</w:t>
            </w:r>
            <w:r w:rsidRPr="00B66E60">
              <w:rPr>
                <w:sz w:val="24"/>
                <w:vertAlign w:val="superscript"/>
              </w:rPr>
              <w:t>th</w:t>
            </w:r>
            <w:r w:rsidRPr="00B66E60">
              <w:rPr>
                <w:sz w:val="24"/>
              </w:rPr>
              <w:t xml:space="preserve"> European Congress of Virology</w:t>
            </w:r>
          </w:p>
          <w:p w:rsidR="00296918" w:rsidRPr="00B66E60" w:rsidRDefault="00296918" w:rsidP="002969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(European Society of Virology)</w:t>
            </w:r>
          </w:p>
        </w:tc>
        <w:tc>
          <w:tcPr>
            <w:tcW w:w="4422" w:type="dxa"/>
          </w:tcPr>
          <w:p w:rsidR="00807012" w:rsidRDefault="00807012" w:rsidP="0048297C">
            <w:pPr>
              <w:jc w:val="center"/>
              <w:rPr>
                <w:sz w:val="24"/>
              </w:rPr>
            </w:pPr>
          </w:p>
          <w:p w:rsidR="00807012" w:rsidRPr="00B66E60" w:rsidRDefault="00807012" w:rsidP="0048297C">
            <w:pPr>
              <w:jc w:val="center"/>
              <w:rPr>
                <w:sz w:val="24"/>
              </w:rPr>
            </w:pPr>
            <w:r w:rsidRPr="00B66E60">
              <w:rPr>
                <w:sz w:val="24"/>
              </w:rPr>
              <w:t>Hamburg, Germany</w:t>
            </w:r>
          </w:p>
        </w:tc>
      </w:tr>
      <w:tr w:rsidR="00723EFE" w:rsidTr="00E40422">
        <w:tc>
          <w:tcPr>
            <w:tcW w:w="1293" w:type="dxa"/>
          </w:tcPr>
          <w:p w:rsidR="00723EFE" w:rsidRDefault="00723EFE" w:rsidP="0048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October 23</w:t>
            </w:r>
            <w:r w:rsidRPr="00723EFE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-26</w:t>
            </w:r>
            <w:r w:rsidRPr="00723EFE">
              <w:rPr>
                <w:sz w:val="24"/>
                <w:vertAlign w:val="superscript"/>
              </w:rPr>
              <w:t>th</w:t>
            </w:r>
          </w:p>
          <w:p w:rsidR="00723EFE" w:rsidRPr="008A4604" w:rsidRDefault="00723EFE" w:rsidP="0048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3527" w:type="dxa"/>
          </w:tcPr>
          <w:p w:rsidR="00723EFE" w:rsidRDefault="00723EFE" w:rsidP="0048297C">
            <w:pPr>
              <w:jc w:val="center"/>
              <w:rPr>
                <w:sz w:val="24"/>
              </w:rPr>
            </w:pPr>
          </w:p>
          <w:p w:rsidR="00723EFE" w:rsidRDefault="00723EFE" w:rsidP="0048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HIV Glasgow</w:t>
            </w:r>
          </w:p>
        </w:tc>
        <w:tc>
          <w:tcPr>
            <w:tcW w:w="4422" w:type="dxa"/>
          </w:tcPr>
          <w:p w:rsidR="00723EFE" w:rsidRDefault="00723EFE" w:rsidP="0048297C">
            <w:pPr>
              <w:jc w:val="center"/>
              <w:rPr>
                <w:sz w:val="24"/>
              </w:rPr>
            </w:pPr>
          </w:p>
          <w:p w:rsidR="00723EFE" w:rsidRDefault="00723EFE" w:rsidP="0048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Glasgow, UK</w:t>
            </w:r>
          </w:p>
        </w:tc>
      </w:tr>
      <w:tr w:rsidR="00807012" w:rsidTr="00E40422">
        <w:tc>
          <w:tcPr>
            <w:tcW w:w="1293" w:type="dxa"/>
          </w:tcPr>
          <w:p w:rsidR="00807012" w:rsidRDefault="00807012" w:rsidP="0048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November 21</w:t>
            </w:r>
            <w:r w:rsidRPr="003417B2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-23</w:t>
            </w:r>
            <w:r w:rsidRPr="003417B2">
              <w:rPr>
                <w:sz w:val="24"/>
                <w:vertAlign w:val="superscript"/>
              </w:rPr>
              <w:t>rd</w:t>
            </w:r>
          </w:p>
          <w:p w:rsidR="00807012" w:rsidRPr="008A4604" w:rsidRDefault="00807012" w:rsidP="0048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3527" w:type="dxa"/>
          </w:tcPr>
          <w:p w:rsidR="00807012" w:rsidRDefault="00807012" w:rsidP="0048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Global Virology Congress &amp; Expo</w:t>
            </w:r>
          </w:p>
          <w:p w:rsidR="00807012" w:rsidRPr="003417B2" w:rsidRDefault="00807012" w:rsidP="00723EFE">
            <w:pPr>
              <w:jc w:val="center"/>
              <w:rPr>
                <w:i/>
                <w:sz w:val="24"/>
              </w:rPr>
            </w:pPr>
            <w:r w:rsidRPr="003417B2">
              <w:rPr>
                <w:i/>
                <w:sz w:val="24"/>
              </w:rPr>
              <w:t>“Current innovations &amp; Therapeutic approaches in Virology”</w:t>
            </w:r>
            <w:bookmarkStart w:id="0" w:name="_GoBack"/>
            <w:bookmarkEnd w:id="0"/>
          </w:p>
        </w:tc>
        <w:tc>
          <w:tcPr>
            <w:tcW w:w="4422" w:type="dxa"/>
          </w:tcPr>
          <w:p w:rsidR="00807012" w:rsidRDefault="00807012" w:rsidP="0048297C">
            <w:pPr>
              <w:jc w:val="center"/>
              <w:rPr>
                <w:sz w:val="24"/>
              </w:rPr>
            </w:pPr>
          </w:p>
          <w:p w:rsidR="00807012" w:rsidRDefault="00807012" w:rsidP="0048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Dubai, UAE</w:t>
            </w:r>
          </w:p>
        </w:tc>
      </w:tr>
    </w:tbl>
    <w:p w:rsidR="008A4604" w:rsidRDefault="008A4604" w:rsidP="00723EFE"/>
    <w:sectPr w:rsidR="008A4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DF"/>
    <w:rsid w:val="00296918"/>
    <w:rsid w:val="003417B2"/>
    <w:rsid w:val="005661C9"/>
    <w:rsid w:val="007170BE"/>
    <w:rsid w:val="00723EFE"/>
    <w:rsid w:val="007D1EDF"/>
    <w:rsid w:val="00807012"/>
    <w:rsid w:val="008A1EB3"/>
    <w:rsid w:val="008A4604"/>
    <w:rsid w:val="00B66E60"/>
    <w:rsid w:val="00BF165E"/>
    <w:rsid w:val="00D54ED7"/>
    <w:rsid w:val="00E25F3A"/>
    <w:rsid w:val="00E40422"/>
    <w:rsid w:val="00EC13E5"/>
    <w:rsid w:val="00F5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OKelly</dc:creator>
  <cp:lastModifiedBy>Ed OKelly</cp:lastModifiedBy>
  <cp:revision>1</cp:revision>
  <cp:lastPrinted>2016-07-25T12:09:00Z</cp:lastPrinted>
  <dcterms:created xsi:type="dcterms:W3CDTF">2016-07-25T09:45:00Z</dcterms:created>
  <dcterms:modified xsi:type="dcterms:W3CDTF">2016-07-25T14:43:00Z</dcterms:modified>
</cp:coreProperties>
</file>